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86589">
      <w:pPr>
        <w:spacing w:line="360" w:lineRule="auto"/>
        <w:jc w:val="center"/>
        <w:rPr>
          <w:rFonts w:hint="eastAsia" w:ascii="宋体" w:hAnsi="宋体"/>
          <w:b/>
          <w:bCs/>
          <w:sz w:val="44"/>
          <w:szCs w:val="44"/>
        </w:rPr>
      </w:pPr>
      <w:r>
        <w:rPr>
          <w:rFonts w:hint="eastAsia" w:ascii="宋体" w:hAnsi="宋体"/>
          <w:b/>
          <w:bCs/>
          <w:sz w:val="44"/>
          <w:szCs w:val="44"/>
          <w:lang w:val="en-US" w:eastAsia="zh-CN"/>
        </w:rPr>
        <w:t>铜陵市财经学校（东区）屋顶SBS卷材防水</w:t>
      </w:r>
      <w:r>
        <w:rPr>
          <w:rFonts w:hint="eastAsia" w:ascii="宋体" w:hAnsi="宋体"/>
          <w:b/>
          <w:bCs/>
          <w:sz w:val="44"/>
          <w:szCs w:val="44"/>
        </w:rPr>
        <w:t>评标方法及评分标准</w:t>
      </w:r>
    </w:p>
    <w:p w14:paraId="7DF168F2">
      <w:pPr>
        <w:pStyle w:val="9"/>
        <w:spacing w:line="360" w:lineRule="auto"/>
        <w:ind w:firstLine="562" w:firstLineChars="200"/>
        <w:outlineLvl w:val="0"/>
        <w:rPr>
          <w:rFonts w:hint="eastAsia" w:ascii="仿宋" w:hAnsi="仿宋" w:eastAsia="仿宋" w:cs="仿宋"/>
          <w:b/>
          <w:bCs/>
          <w:sz w:val="28"/>
          <w:szCs w:val="28"/>
        </w:rPr>
      </w:pPr>
      <w:bookmarkStart w:id="0" w:name="_Toc2517"/>
      <w:bookmarkStart w:id="1" w:name="_Toc21260"/>
      <w:bookmarkStart w:id="2" w:name="_Toc5296"/>
      <w:bookmarkStart w:id="3" w:name="_Toc7319"/>
      <w:bookmarkStart w:id="4" w:name="_Toc18660"/>
      <w:bookmarkStart w:id="5" w:name="_Toc1184"/>
      <w:bookmarkStart w:id="6" w:name="_Toc28649"/>
      <w:bookmarkStart w:id="7" w:name="_Toc21611"/>
      <w:bookmarkStart w:id="8" w:name="_Toc7703"/>
      <w:bookmarkStart w:id="9" w:name="_Toc27930"/>
      <w:bookmarkStart w:id="10" w:name="_Toc28933"/>
      <w:bookmarkStart w:id="11" w:name="_Toc19606"/>
      <w:bookmarkStart w:id="12" w:name="_Toc25890"/>
      <w:bookmarkStart w:id="13" w:name="_Toc15042"/>
      <w:bookmarkStart w:id="14" w:name="_Toc4088"/>
      <w:bookmarkStart w:id="15" w:name="_Toc32399"/>
      <w:bookmarkStart w:id="16" w:name="_Toc8716"/>
      <w:bookmarkStart w:id="17" w:name="_Toc32203"/>
      <w:bookmarkStart w:id="18" w:name="_Toc6108"/>
      <w:bookmarkStart w:id="19" w:name="_Toc4787"/>
      <w:bookmarkStart w:id="20" w:name="_Toc9644"/>
      <w:bookmarkStart w:id="21" w:name="_Toc2210"/>
      <w:bookmarkStart w:id="22" w:name="_Toc25224"/>
      <w:bookmarkStart w:id="23" w:name="_Toc16911"/>
      <w:bookmarkStart w:id="24" w:name="_Toc26240"/>
      <w:bookmarkStart w:id="25" w:name="_Toc522694205"/>
      <w:bookmarkStart w:id="26" w:name="_Toc955"/>
      <w:bookmarkStart w:id="27" w:name="_Toc31475"/>
      <w:bookmarkStart w:id="28" w:name="_Toc2040"/>
      <w:bookmarkStart w:id="29" w:name="_Toc523252171"/>
      <w:bookmarkStart w:id="30" w:name="_Toc4805"/>
      <w:bookmarkStart w:id="31" w:name="_Toc6978"/>
      <w:bookmarkStart w:id="32" w:name="_Toc25600"/>
      <w:bookmarkStart w:id="33" w:name="_Toc25810"/>
      <w:bookmarkStart w:id="34" w:name="_Toc8341"/>
      <w:bookmarkStart w:id="35" w:name="_Toc50835321"/>
      <w:bookmarkStart w:id="36" w:name="_Toc23746"/>
      <w:bookmarkStart w:id="37" w:name="_Toc8144"/>
      <w:bookmarkStart w:id="38" w:name="_Toc30500"/>
      <w:bookmarkStart w:id="39" w:name="_Toc22813"/>
      <w:bookmarkStart w:id="40" w:name="_Toc7672"/>
      <w:bookmarkStart w:id="41" w:name="_Toc29456"/>
      <w:bookmarkStart w:id="42" w:name="_Toc5488"/>
      <w:bookmarkStart w:id="43" w:name="_Toc22526"/>
      <w:r>
        <w:rPr>
          <w:rFonts w:hint="eastAsia" w:ascii="仿宋" w:hAnsi="仿宋" w:eastAsia="仿宋" w:cs="仿宋"/>
          <w:b/>
          <w:bCs/>
          <w:sz w:val="28"/>
          <w:szCs w:val="28"/>
        </w:rPr>
        <w:t>一、评标方法：</w:t>
      </w:r>
    </w:p>
    <w:p w14:paraId="238C5A59">
      <w:pPr>
        <w:pStyle w:val="9"/>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1、评标方法采用综合评分法，总分值为100分。即在最大限度地满足招标文件实质性要求前提下，按照招标文件中规定的各项因素进行综合评审。评标先对投标人进行</w:t>
      </w:r>
      <w:r>
        <w:rPr>
          <w:rFonts w:hint="eastAsia" w:ascii="仿宋" w:hAnsi="仿宋" w:eastAsia="仿宋" w:cs="仿宋"/>
          <w:sz w:val="28"/>
          <w:szCs w:val="28"/>
          <w:lang w:val="zh-CN"/>
        </w:rPr>
        <w:t>资格审查，</w:t>
      </w:r>
      <w:r>
        <w:rPr>
          <w:rFonts w:hint="eastAsia" w:ascii="仿宋" w:hAnsi="仿宋" w:eastAsia="仿宋" w:cs="仿宋"/>
          <w:sz w:val="28"/>
          <w:szCs w:val="28"/>
        </w:rPr>
        <w:t>若投标人无相关营业执照副本、资质证书（有些行业无资质证书）则总评标分为0分，且不参与后续评标；若投标人有相关营业执照副本、资质证书，评审因素及各比重如下：价格评价占总分值的70%（权重）；商务评价占总分值的15%（权重）；技术评价占总分值的15%（权重）。（保留小数点后二位）。</w:t>
      </w:r>
    </w:p>
    <w:p w14:paraId="29B0D525">
      <w:pPr>
        <w:pStyle w:val="9"/>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2、评审内容：</w:t>
      </w:r>
    </w:p>
    <w:p w14:paraId="3EF06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560" w:firstLineChars="200"/>
        <w:jc w:val="both"/>
        <w:rPr>
          <w:rFonts w:hint="eastAsia" w:ascii="仿宋" w:hAnsi="仿宋" w:eastAsia="仿宋" w:cs="仿宋"/>
          <w:color w:val="FF0000"/>
          <w:sz w:val="28"/>
          <w:szCs w:val="28"/>
          <w:lang w:eastAsia="zh-CN"/>
        </w:rPr>
      </w:pPr>
      <w:r>
        <w:rPr>
          <w:rFonts w:hint="eastAsia" w:ascii="仿宋" w:hAnsi="仿宋" w:eastAsia="仿宋" w:cs="仿宋"/>
          <w:b w:val="0"/>
          <w:bCs w:val="0"/>
          <w:kern w:val="2"/>
          <w:sz w:val="28"/>
          <w:szCs w:val="28"/>
          <w:lang w:val="en-US" w:eastAsia="zh-CN" w:bidi="ar-SA"/>
        </w:rPr>
        <w:t>价格评价：</w:t>
      </w:r>
      <w:r>
        <w:rPr>
          <w:rFonts w:hint="eastAsia" w:ascii="仿宋" w:hAnsi="仿宋" w:eastAsia="仿宋" w:cs="仿宋"/>
          <w:b w:val="0"/>
          <w:bCs w:val="0"/>
          <w:color w:val="FF0000"/>
          <w:kern w:val="2"/>
          <w:sz w:val="28"/>
          <w:szCs w:val="28"/>
          <w:lang w:val="en-US" w:eastAsia="zh-CN" w:bidi="ar-SA"/>
        </w:rPr>
        <w:t>低价优先法，此方法以符合招标条件的最低报价为基准价，其他报价得分与之成反比。</w:t>
      </w:r>
    </w:p>
    <w:p w14:paraId="38DCDEBF">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商务评价：投标文件响应</w:t>
      </w:r>
      <w:r>
        <w:rPr>
          <w:rFonts w:hint="eastAsia" w:ascii="仿宋" w:hAnsi="仿宋" w:eastAsia="仿宋" w:cs="仿宋"/>
          <w:sz w:val="28"/>
          <w:szCs w:val="28"/>
          <w:lang w:val="en-US" w:eastAsia="zh-CN"/>
        </w:rPr>
        <w:t>符合度、</w:t>
      </w:r>
      <w:r>
        <w:rPr>
          <w:rFonts w:hint="eastAsia" w:ascii="仿宋" w:hAnsi="仿宋" w:eastAsia="仿宋" w:cs="仿宋"/>
          <w:sz w:val="28"/>
          <w:szCs w:val="28"/>
        </w:rPr>
        <w:t>业绩、</w:t>
      </w:r>
      <w:r>
        <w:rPr>
          <w:rFonts w:hint="eastAsia" w:ascii="仿宋" w:hAnsi="仿宋" w:eastAsia="仿宋" w:cs="仿宋"/>
          <w:sz w:val="28"/>
          <w:szCs w:val="28"/>
          <w:lang w:val="en-US" w:eastAsia="zh-CN"/>
        </w:rPr>
        <w:t>等；</w:t>
      </w:r>
    </w:p>
    <w:p w14:paraId="08C1CEE2">
      <w:pPr>
        <w:pStyle w:val="9"/>
        <w:spacing w:line="360" w:lineRule="auto"/>
        <w:ind w:firstLine="560" w:firstLineChars="200"/>
        <w:rPr>
          <w:rFonts w:hint="eastAsia" w:ascii="仿宋" w:hAnsi="仿宋" w:eastAsia="仿宋" w:cs="仿宋"/>
          <w:color w:val="0000FF"/>
          <w:sz w:val="28"/>
          <w:szCs w:val="28"/>
        </w:rPr>
      </w:pPr>
      <w:r>
        <w:rPr>
          <w:rFonts w:hint="eastAsia" w:ascii="仿宋" w:hAnsi="仿宋" w:eastAsia="仿宋" w:cs="仿宋"/>
          <w:sz w:val="28"/>
          <w:szCs w:val="28"/>
        </w:rPr>
        <w:t>技术评价：方案设计、勘测</w:t>
      </w:r>
      <w:r>
        <w:rPr>
          <w:rFonts w:hint="eastAsia" w:ascii="仿宋" w:hAnsi="仿宋" w:eastAsia="仿宋" w:cs="仿宋"/>
          <w:sz w:val="28"/>
          <w:szCs w:val="28"/>
          <w:lang w:eastAsia="zh-CN"/>
        </w:rPr>
        <w:t>、</w:t>
      </w:r>
      <w:r>
        <w:rPr>
          <w:rFonts w:hint="eastAsia" w:ascii="仿宋" w:hAnsi="仿宋" w:eastAsia="仿宋" w:cs="仿宋"/>
          <w:sz w:val="28"/>
          <w:szCs w:val="28"/>
        </w:rPr>
        <w:t>等；</w:t>
      </w:r>
    </w:p>
    <w:p w14:paraId="33219E3D">
      <w:pPr>
        <w:pStyle w:val="9"/>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3、评标时，评标委员会对每个有效投标人的投标书进行评分，对评委的评分进行统计汇总，按算术平均方法计算出每个投标人的评审得分。（保留小数点后2位）</w:t>
      </w:r>
    </w:p>
    <w:p w14:paraId="0DDE09FA">
      <w:pPr>
        <w:pStyle w:val="9"/>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评标结果按评审后得分由高到低顺序排列。得分相同的，按投标报价由低到高顺序排列。得分且投标报价相同的抽签确定排序。投标文件满足招标文件全部实质性要求，且按照评审因素的量化指标评审得分最高且排名第一的投标人为中标人。</w:t>
      </w:r>
    </w:p>
    <w:p w14:paraId="41D83F23">
      <w:pPr>
        <w:pStyle w:val="9"/>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如果某投标人的投标报价中有漏项，则该投标方的投标价格评分时需加上漏项部分，漏项部分的价格按所有投标方中相应部分所报的最高价格计算，如果该投标人中标，则其中标价不能调整，即漏项部分的价格需该投标人自行消化，如构成未实质性响应招标文件要求的，将不得中标。</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0EA356E">
      <w:pPr>
        <w:pStyle w:val="9"/>
        <w:spacing w:line="360" w:lineRule="auto"/>
        <w:ind w:firstLine="562"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二、综合评分标准：</w:t>
      </w:r>
    </w:p>
    <w:p w14:paraId="00979686">
      <w:pPr>
        <w:pStyle w:val="10"/>
        <w:ind w:firstLine="562" w:firstLineChars="200"/>
        <w:rPr>
          <w:rFonts w:hint="eastAsia" w:ascii="仿宋" w:hAnsi="仿宋" w:eastAsia="仿宋" w:cs="仿宋"/>
          <w:b/>
          <w:sz w:val="28"/>
          <w:szCs w:val="28"/>
        </w:rPr>
      </w:pPr>
      <w:r>
        <w:rPr>
          <w:rFonts w:hint="eastAsia" w:ascii="仿宋" w:hAnsi="仿宋" w:eastAsia="仿宋" w:cs="仿宋"/>
          <w:b/>
          <w:sz w:val="28"/>
          <w:szCs w:val="28"/>
        </w:rPr>
        <w:t>（一）价格评分（70分）</w:t>
      </w:r>
    </w:p>
    <w:p w14:paraId="0DA9EBAA">
      <w:pPr>
        <w:pStyle w:val="10"/>
        <w:ind w:firstLine="560" w:firstLineChars="200"/>
        <w:rPr>
          <w:rFonts w:hint="eastAsia" w:ascii="仿宋" w:hAnsi="仿宋" w:eastAsia="仿宋" w:cs="仿宋"/>
          <w:color w:val="FF0000"/>
          <w:sz w:val="28"/>
          <w:szCs w:val="28"/>
        </w:rPr>
      </w:pPr>
      <w:r>
        <w:rPr>
          <w:rFonts w:hint="eastAsia" w:ascii="仿宋" w:hAnsi="仿宋" w:eastAsia="仿宋" w:cs="仿宋"/>
          <w:b w:val="0"/>
          <w:bCs w:val="0"/>
          <w:color w:val="FF0000"/>
          <w:kern w:val="2"/>
          <w:sz w:val="28"/>
          <w:szCs w:val="28"/>
          <w:lang w:val="en-US" w:eastAsia="zh-CN" w:bidi="ar-SA"/>
        </w:rPr>
        <w:t>低价优先法，</w:t>
      </w:r>
      <w:r>
        <w:rPr>
          <w:rFonts w:hint="eastAsia" w:ascii="仿宋" w:hAnsi="仿宋" w:eastAsia="仿宋" w:cs="仿宋"/>
          <w:color w:val="FF0000"/>
          <w:sz w:val="28"/>
          <w:szCs w:val="28"/>
        </w:rPr>
        <w:t>计算公式为：价格分 =（评标基准价 / 投标报价）× 价格权值</w:t>
      </w:r>
      <w:r>
        <w:rPr>
          <w:rFonts w:hint="eastAsia" w:ascii="仿宋" w:hAnsi="仿宋" w:eastAsia="仿宋" w:cs="仿宋"/>
          <w:color w:val="FF0000"/>
          <w:sz w:val="28"/>
          <w:szCs w:val="28"/>
          <w:lang w:val="en-US" w:eastAsia="zh-CN"/>
        </w:rPr>
        <w:t>70</w:t>
      </w:r>
      <w:r>
        <w:rPr>
          <w:rFonts w:hint="eastAsia" w:ascii="仿宋" w:hAnsi="仿宋" w:eastAsia="仿宋" w:cs="仿宋"/>
          <w:color w:val="FF0000"/>
          <w:sz w:val="28"/>
          <w:szCs w:val="28"/>
        </w:rPr>
        <w:t xml:space="preserve"> × 100</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rPr>
        <w:t>​（保留小数点后2位）</w:t>
      </w:r>
    </w:p>
    <w:p w14:paraId="6742F13E">
      <w:pPr>
        <w:pStyle w:val="10"/>
        <w:ind w:firstLine="560" w:firstLineChars="200"/>
        <w:rPr>
          <w:rFonts w:hint="eastAsia" w:ascii="仿宋" w:hAnsi="仿宋" w:eastAsia="仿宋" w:cs="仿宋"/>
          <w:color w:val="FF0000"/>
          <w:sz w:val="28"/>
          <w:szCs w:val="28"/>
          <w:lang w:eastAsia="zh-CN"/>
        </w:rPr>
      </w:pPr>
    </w:p>
    <w:p w14:paraId="0452DA76">
      <w:pPr>
        <w:pStyle w:val="10"/>
        <w:ind w:firstLine="562" w:firstLineChars="200"/>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二</w:t>
      </w:r>
      <w:r>
        <w:rPr>
          <w:rFonts w:hint="eastAsia" w:ascii="仿宋" w:hAnsi="仿宋" w:eastAsia="仿宋" w:cs="仿宋"/>
          <w:b/>
          <w:sz w:val="28"/>
          <w:szCs w:val="28"/>
        </w:rPr>
        <w:t>）</w:t>
      </w:r>
      <w:r>
        <w:rPr>
          <w:rFonts w:hint="eastAsia" w:ascii="仿宋" w:hAnsi="仿宋" w:eastAsia="仿宋" w:cs="仿宋"/>
          <w:b/>
          <w:sz w:val="28"/>
          <w:szCs w:val="28"/>
          <w:lang w:val="en-US" w:eastAsia="zh-CN"/>
        </w:rPr>
        <w:t>商务</w:t>
      </w:r>
      <w:r>
        <w:rPr>
          <w:rFonts w:hint="eastAsia" w:ascii="仿宋" w:hAnsi="仿宋" w:eastAsia="仿宋" w:cs="仿宋"/>
          <w:b/>
          <w:sz w:val="28"/>
          <w:szCs w:val="28"/>
        </w:rPr>
        <w:t>评分（</w:t>
      </w:r>
      <w:r>
        <w:rPr>
          <w:rFonts w:hint="eastAsia" w:ascii="仿宋" w:hAnsi="仿宋" w:eastAsia="仿宋" w:cs="仿宋"/>
          <w:b/>
          <w:sz w:val="28"/>
          <w:szCs w:val="28"/>
          <w:lang w:val="en-US" w:eastAsia="zh-CN"/>
        </w:rPr>
        <w:t>15</w:t>
      </w:r>
      <w:r>
        <w:rPr>
          <w:rFonts w:hint="eastAsia" w:ascii="仿宋" w:hAnsi="仿宋" w:eastAsia="仿宋" w:cs="仿宋"/>
          <w:b/>
          <w:sz w:val="28"/>
          <w:szCs w:val="28"/>
        </w:rPr>
        <w:t>分）</w:t>
      </w:r>
    </w:p>
    <w:tbl>
      <w:tblPr>
        <w:tblStyle w:val="12"/>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558"/>
        <w:gridCol w:w="473"/>
        <w:gridCol w:w="5764"/>
      </w:tblGrid>
      <w:tr w14:paraId="0F10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84" w:type="dxa"/>
          </w:tcPr>
          <w:p w14:paraId="53A1815A">
            <w:pPr>
              <w:pStyle w:val="11"/>
              <w:spacing w:before="80" w:line="221" w:lineRule="auto"/>
              <w:ind w:left="12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1558" w:type="dxa"/>
          </w:tcPr>
          <w:p w14:paraId="6E7554FD">
            <w:pPr>
              <w:pStyle w:val="11"/>
              <w:spacing w:before="79" w:line="220" w:lineRule="auto"/>
              <w:ind w:left="50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评标项目</w:t>
            </w:r>
          </w:p>
        </w:tc>
        <w:tc>
          <w:tcPr>
            <w:tcW w:w="473" w:type="dxa"/>
          </w:tcPr>
          <w:p w14:paraId="2522614E">
            <w:pPr>
              <w:pStyle w:val="11"/>
              <w:spacing w:before="79" w:line="219" w:lineRule="auto"/>
              <w:ind w:left="10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分值</w:t>
            </w:r>
          </w:p>
        </w:tc>
        <w:tc>
          <w:tcPr>
            <w:tcW w:w="5764" w:type="dxa"/>
          </w:tcPr>
          <w:p w14:paraId="09629297">
            <w:pPr>
              <w:pStyle w:val="11"/>
              <w:spacing w:before="79" w:line="220" w:lineRule="auto"/>
              <w:ind w:left="122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评分标准</w:t>
            </w:r>
          </w:p>
        </w:tc>
      </w:tr>
      <w:tr w14:paraId="639E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484" w:type="dxa"/>
          </w:tcPr>
          <w:p w14:paraId="1CBC93E8">
            <w:pPr>
              <w:pStyle w:val="11"/>
              <w:spacing w:before="36" w:line="184" w:lineRule="auto"/>
              <w:ind w:left="20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1558" w:type="dxa"/>
          </w:tcPr>
          <w:p w14:paraId="0714C8C2">
            <w:pPr>
              <w:pStyle w:val="9"/>
              <w:spacing w:line="360" w:lineRule="auto"/>
              <w:ind w:firstLine="420" w:firstLineChars="200"/>
              <w:rPr>
                <w:rFonts w:hint="eastAsia" w:ascii="仿宋" w:hAnsi="仿宋" w:eastAsia="仿宋" w:cs="仿宋"/>
                <w:sz w:val="28"/>
                <w:szCs w:val="28"/>
              </w:rPr>
            </w:pPr>
            <w:r>
              <w:rPr>
                <w:rFonts w:hint="eastAsia" w:ascii="仿宋" w:hAnsi="仿宋" w:eastAsia="仿宋" w:cs="仿宋"/>
                <w:sz w:val="21"/>
                <w:szCs w:val="21"/>
              </w:rPr>
              <w:t>投标文件响应招标文件</w:t>
            </w:r>
            <w:r>
              <w:rPr>
                <w:rFonts w:hint="eastAsia" w:ascii="仿宋" w:hAnsi="仿宋" w:eastAsia="仿宋" w:cs="仿宋"/>
                <w:sz w:val="21"/>
                <w:szCs w:val="21"/>
                <w:lang w:val="en-US" w:eastAsia="zh-CN"/>
              </w:rPr>
              <w:t>满足</w:t>
            </w:r>
            <w:r>
              <w:rPr>
                <w:rFonts w:hint="eastAsia" w:ascii="仿宋" w:hAnsi="仿宋" w:eastAsia="仿宋" w:cs="仿宋"/>
                <w:sz w:val="21"/>
                <w:szCs w:val="21"/>
              </w:rPr>
              <w:t>要求，交货期、付款条件及方式、质保期等与招标文件匹配程度</w:t>
            </w:r>
          </w:p>
          <w:p w14:paraId="19554519">
            <w:pPr>
              <w:pStyle w:val="11"/>
              <w:spacing w:before="215" w:line="373" w:lineRule="auto"/>
              <w:ind w:left="1" w:firstLine="29"/>
              <w:jc w:val="center"/>
              <w:rPr>
                <w:rFonts w:hint="eastAsia" w:ascii="仿宋" w:hAnsi="仿宋" w:eastAsia="仿宋" w:cs="仿宋"/>
                <w:sz w:val="21"/>
                <w:szCs w:val="21"/>
                <w:lang w:eastAsia="zh-CN"/>
              </w:rPr>
            </w:pPr>
          </w:p>
        </w:tc>
        <w:tc>
          <w:tcPr>
            <w:tcW w:w="473" w:type="dxa"/>
          </w:tcPr>
          <w:p w14:paraId="510F09D6">
            <w:pPr>
              <w:pStyle w:val="11"/>
              <w:spacing w:before="36" w:line="184" w:lineRule="auto"/>
              <w:ind w:left="15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8</w:t>
            </w:r>
          </w:p>
        </w:tc>
        <w:tc>
          <w:tcPr>
            <w:tcW w:w="5764" w:type="dxa"/>
          </w:tcPr>
          <w:p w14:paraId="2C6A36E0">
            <w:pPr>
              <w:pStyle w:val="11"/>
              <w:spacing w:before="45" w:line="219" w:lineRule="auto"/>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1.好，完全符合招标文件要求：6(含)-8分；</w:t>
            </w:r>
          </w:p>
          <w:p w14:paraId="39064506">
            <w:pPr>
              <w:pStyle w:val="11"/>
              <w:spacing w:before="11" w:line="429" w:lineRule="exac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2.较好，基本符合招标文件要求，招标人可以接受招标文件中的变动条款：4(含)-6分；</w:t>
            </w:r>
          </w:p>
          <w:p w14:paraId="480309CC">
            <w:pPr>
              <w:pStyle w:val="11"/>
              <w:spacing w:before="11" w:line="429" w:lineRule="exac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3.一般，不完全符合招标文件要求，投标文件的条款需要协商：2(含)-4分。</w:t>
            </w:r>
          </w:p>
          <w:p w14:paraId="60714E83">
            <w:pPr>
              <w:pStyle w:val="11"/>
              <w:spacing w:before="11" w:line="429" w:lineRule="exac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4.差，不符合招标文件要求，投标文件条款无法满足我方招标需求:0-2分</w:t>
            </w:r>
          </w:p>
        </w:tc>
      </w:tr>
      <w:tr w14:paraId="6326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4" w:type="dxa"/>
          </w:tcPr>
          <w:p w14:paraId="1AD7137E">
            <w:pPr>
              <w:pStyle w:val="11"/>
              <w:spacing w:before="199" w:line="183" w:lineRule="auto"/>
              <w:ind w:left="20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1558" w:type="dxa"/>
          </w:tcPr>
          <w:p w14:paraId="26FD9092">
            <w:pPr>
              <w:pStyle w:val="11"/>
              <w:spacing w:before="171" w:line="219" w:lineRule="auto"/>
              <w:ind w:left="8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业绩分</w:t>
            </w:r>
          </w:p>
        </w:tc>
        <w:tc>
          <w:tcPr>
            <w:tcW w:w="473" w:type="dxa"/>
          </w:tcPr>
          <w:p w14:paraId="445678BA">
            <w:pPr>
              <w:pStyle w:val="11"/>
              <w:spacing w:before="199" w:line="183" w:lineRule="auto"/>
              <w:ind w:left="15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w:t>
            </w:r>
          </w:p>
        </w:tc>
        <w:tc>
          <w:tcPr>
            <w:tcW w:w="5764" w:type="dxa"/>
          </w:tcPr>
          <w:p w14:paraId="101252C8">
            <w:pPr>
              <w:pStyle w:val="11"/>
              <w:spacing w:before="71" w:line="289" w:lineRule="auto"/>
              <w:ind w:left="65" w:right="17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每增加一个业绩加2分，最高得7分。（</w:t>
            </w:r>
            <w:r>
              <w:rPr>
                <w:rFonts w:hint="eastAsia" w:ascii="仿宋" w:hAnsi="仿宋" w:eastAsia="仿宋" w:cs="仿宋"/>
                <w:sz w:val="21"/>
                <w:szCs w:val="21"/>
                <w:lang w:val="en-US" w:eastAsia="zh-CN"/>
              </w:rPr>
              <w:t>提供4个及以上得7分</w:t>
            </w:r>
            <w:r>
              <w:rPr>
                <w:rFonts w:hint="eastAsia" w:ascii="仿宋" w:hAnsi="仿宋" w:eastAsia="仿宋" w:cs="仿宋"/>
                <w:sz w:val="21"/>
                <w:szCs w:val="21"/>
                <w:lang w:eastAsia="zh-CN"/>
              </w:rPr>
              <w:t>）</w:t>
            </w:r>
          </w:p>
        </w:tc>
      </w:tr>
      <w:tr w14:paraId="0BCE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4" w:type="dxa"/>
          </w:tcPr>
          <w:p w14:paraId="7138188B">
            <w:pPr>
              <w:jc w:val="center"/>
              <w:rPr>
                <w:rFonts w:hint="eastAsia" w:ascii="仿宋" w:hAnsi="仿宋" w:eastAsia="仿宋" w:cs="仿宋"/>
                <w:szCs w:val="21"/>
              </w:rPr>
            </w:pPr>
          </w:p>
        </w:tc>
        <w:tc>
          <w:tcPr>
            <w:tcW w:w="1558" w:type="dxa"/>
          </w:tcPr>
          <w:p w14:paraId="5EAB1F95">
            <w:pPr>
              <w:pStyle w:val="11"/>
              <w:spacing w:before="85" w:line="221" w:lineRule="auto"/>
              <w:ind w:left="61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473" w:type="dxa"/>
          </w:tcPr>
          <w:p w14:paraId="06FF4993">
            <w:pPr>
              <w:pStyle w:val="11"/>
              <w:spacing w:before="112" w:line="184" w:lineRule="auto"/>
              <w:ind w:lef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15</w:t>
            </w:r>
          </w:p>
        </w:tc>
        <w:tc>
          <w:tcPr>
            <w:tcW w:w="5764" w:type="dxa"/>
          </w:tcPr>
          <w:p w14:paraId="0748D371">
            <w:pPr>
              <w:jc w:val="center"/>
              <w:rPr>
                <w:rFonts w:hint="eastAsia" w:ascii="仿宋" w:hAnsi="仿宋" w:eastAsia="仿宋" w:cs="仿宋"/>
                <w:szCs w:val="21"/>
              </w:rPr>
            </w:pPr>
          </w:p>
        </w:tc>
      </w:tr>
    </w:tbl>
    <w:p w14:paraId="2A4F2F67">
      <w:pPr>
        <w:pStyle w:val="10"/>
        <w:ind w:firstLine="562" w:firstLineChars="200"/>
        <w:rPr>
          <w:rFonts w:hint="eastAsia" w:ascii="仿宋" w:hAnsi="仿宋" w:eastAsia="仿宋" w:cs="仿宋"/>
          <w:b/>
          <w:sz w:val="28"/>
          <w:szCs w:val="28"/>
          <w:lang w:val="en-US" w:eastAsia="zh-CN"/>
        </w:rPr>
      </w:pPr>
    </w:p>
    <w:p w14:paraId="245354C6">
      <w:pPr>
        <w:pStyle w:val="10"/>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（三）技术评分标准表（15分）</w:t>
      </w:r>
    </w:p>
    <w:tbl>
      <w:tblPr>
        <w:tblStyle w:val="12"/>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477"/>
        <w:gridCol w:w="10"/>
        <w:gridCol w:w="554"/>
        <w:gridCol w:w="5764"/>
      </w:tblGrid>
      <w:tr w14:paraId="7929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74" w:type="dxa"/>
          </w:tcPr>
          <w:p w14:paraId="715511EB">
            <w:pPr>
              <w:pStyle w:val="11"/>
              <w:spacing w:before="89" w:line="211" w:lineRule="auto"/>
              <w:ind w:lef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1487" w:type="dxa"/>
            <w:gridSpan w:val="2"/>
          </w:tcPr>
          <w:p w14:paraId="102513C8">
            <w:pPr>
              <w:pStyle w:val="11"/>
              <w:spacing w:before="89" w:line="212" w:lineRule="auto"/>
              <w:ind w:left="53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评标项目</w:t>
            </w:r>
          </w:p>
        </w:tc>
        <w:tc>
          <w:tcPr>
            <w:tcW w:w="554" w:type="dxa"/>
          </w:tcPr>
          <w:p w14:paraId="34C209D2">
            <w:pPr>
              <w:pStyle w:val="11"/>
              <w:spacing w:before="89" w:line="212" w:lineRule="auto"/>
              <w:ind w:left="9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分值</w:t>
            </w:r>
          </w:p>
        </w:tc>
        <w:tc>
          <w:tcPr>
            <w:tcW w:w="5764" w:type="dxa"/>
          </w:tcPr>
          <w:p w14:paraId="585BCE40">
            <w:pPr>
              <w:pStyle w:val="11"/>
              <w:spacing w:before="89" w:line="212" w:lineRule="auto"/>
              <w:ind w:left="123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评分标准</w:t>
            </w:r>
          </w:p>
        </w:tc>
      </w:tr>
      <w:tr w14:paraId="66F79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tcPr>
          <w:p w14:paraId="700C01B1">
            <w:pPr>
              <w:pStyle w:val="11"/>
              <w:spacing w:before="32" w:line="184" w:lineRule="auto"/>
              <w:ind w:left="20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1487" w:type="dxa"/>
            <w:gridSpan w:val="2"/>
          </w:tcPr>
          <w:p w14:paraId="5DE1F33D">
            <w:pPr>
              <w:pStyle w:val="11"/>
              <w:spacing w:before="255" w:line="219" w:lineRule="auto"/>
              <w:ind w:left="1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从业人员资质证书</w:t>
            </w:r>
          </w:p>
        </w:tc>
        <w:tc>
          <w:tcPr>
            <w:tcW w:w="554" w:type="dxa"/>
          </w:tcPr>
          <w:p w14:paraId="2A598048">
            <w:pPr>
              <w:pStyle w:val="11"/>
              <w:spacing w:before="32" w:line="182" w:lineRule="auto"/>
              <w:ind w:left="17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4</w:t>
            </w:r>
          </w:p>
        </w:tc>
        <w:tc>
          <w:tcPr>
            <w:tcW w:w="5764" w:type="dxa"/>
          </w:tcPr>
          <w:p w14:paraId="3567B5B6">
            <w:pPr>
              <w:keepNext w:val="0"/>
              <w:keepLines w:val="0"/>
              <w:widowControl/>
              <w:suppressLineNumbers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提供本项目从业人员防水工职业资格证书或与防水相关的资质证书1本/分，最高4分。</w:t>
            </w:r>
          </w:p>
        </w:tc>
      </w:tr>
      <w:tr w14:paraId="0F7F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474" w:type="dxa"/>
          </w:tcPr>
          <w:p w14:paraId="29E331C5">
            <w:pPr>
              <w:pStyle w:val="11"/>
              <w:spacing w:before="33" w:line="183" w:lineRule="auto"/>
              <w:ind w:left="20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1487" w:type="dxa"/>
            <w:gridSpan w:val="2"/>
          </w:tcPr>
          <w:p w14:paraId="35A261A2">
            <w:pPr>
              <w:pStyle w:val="11"/>
              <w:spacing w:before="67" w:line="219" w:lineRule="auto"/>
              <w:ind w:left="60" w:firstLine="420" w:firstLineChars="20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总体设</w:t>
            </w:r>
            <w:bookmarkStart w:id="44" w:name="_GoBack"/>
            <w:r>
              <w:rPr>
                <w:rFonts w:hint="eastAsia" w:ascii="仿宋" w:hAnsi="仿宋" w:eastAsia="仿宋" w:cs="仿宋"/>
                <w:sz w:val="21"/>
                <w:szCs w:val="21"/>
                <w:lang w:eastAsia="zh-CN"/>
              </w:rPr>
              <w:t>计</w:t>
            </w:r>
            <w:r>
              <w:rPr>
                <w:rFonts w:hint="eastAsia" w:ascii="仿宋" w:hAnsi="仿宋" w:eastAsia="仿宋" w:cs="仿宋"/>
                <w:sz w:val="21"/>
                <w:szCs w:val="21"/>
                <w:lang w:val="en-US" w:eastAsia="zh-CN"/>
              </w:rPr>
              <w:t>/施工</w:t>
            </w:r>
            <w:r>
              <w:rPr>
                <w:rFonts w:hint="eastAsia" w:ascii="仿宋" w:hAnsi="仿宋" w:eastAsia="仿宋" w:cs="仿宋"/>
                <w:sz w:val="21"/>
                <w:szCs w:val="21"/>
                <w:lang w:eastAsia="zh-CN"/>
              </w:rPr>
              <w:t>方案(含总体规划、总平面布置、施工组织设计、主要技术经济指标等</w:t>
            </w:r>
            <w:bookmarkEnd w:id="44"/>
            <w:r>
              <w:rPr>
                <w:rFonts w:hint="eastAsia" w:ascii="仿宋" w:hAnsi="仿宋" w:eastAsia="仿宋" w:cs="仿宋"/>
                <w:sz w:val="21"/>
                <w:szCs w:val="21"/>
                <w:lang w:eastAsia="zh-CN"/>
              </w:rPr>
              <w:t>)</w:t>
            </w:r>
          </w:p>
        </w:tc>
        <w:tc>
          <w:tcPr>
            <w:tcW w:w="554" w:type="dxa"/>
          </w:tcPr>
          <w:p w14:paraId="04123902">
            <w:pPr>
              <w:pStyle w:val="11"/>
              <w:spacing w:before="33" w:line="183" w:lineRule="auto"/>
              <w:ind w:left="143"/>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w:t>
            </w:r>
          </w:p>
        </w:tc>
        <w:tc>
          <w:tcPr>
            <w:tcW w:w="5764" w:type="dxa"/>
          </w:tcPr>
          <w:p w14:paraId="00FEA975">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总体设计方案科学合理可行，得5(含)-7分；2.总体设计方案较为合理可行，得3(含)-5分：3.总体设计方案不合理可行，得0(含)-2分。</w:t>
            </w:r>
            <w:r>
              <w:rPr>
                <w:rFonts w:hint="eastAsia" w:ascii="仿宋" w:hAnsi="仿宋" w:eastAsia="仿宋" w:cs="仿宋"/>
                <w:szCs w:val="21"/>
              </w:rPr>
              <w:br w:type="textWrapping"/>
            </w:r>
          </w:p>
        </w:tc>
      </w:tr>
      <w:tr w14:paraId="545A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74" w:type="dxa"/>
          </w:tcPr>
          <w:p w14:paraId="092918A4">
            <w:pPr>
              <w:pStyle w:val="11"/>
              <w:spacing w:before="36" w:line="183" w:lineRule="auto"/>
              <w:ind w:left="19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3</w:t>
            </w:r>
          </w:p>
        </w:tc>
        <w:tc>
          <w:tcPr>
            <w:tcW w:w="1477" w:type="dxa"/>
          </w:tcPr>
          <w:p w14:paraId="15F2BD13">
            <w:pPr>
              <w:pStyle w:val="11"/>
              <w:spacing w:before="275" w:line="323" w:lineRule="auto"/>
              <w:ind w:left="510" w:hanging="499"/>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动察、设计质量安全保证体系及保证措施</w:t>
            </w:r>
          </w:p>
        </w:tc>
        <w:tc>
          <w:tcPr>
            <w:tcW w:w="564" w:type="dxa"/>
            <w:gridSpan w:val="2"/>
          </w:tcPr>
          <w:p w14:paraId="57C25005">
            <w:pPr>
              <w:pStyle w:val="11"/>
              <w:spacing w:before="36" w:line="182" w:lineRule="auto"/>
              <w:ind w:left="17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4</w:t>
            </w:r>
          </w:p>
        </w:tc>
        <w:tc>
          <w:tcPr>
            <w:tcW w:w="5764" w:type="dxa"/>
          </w:tcPr>
          <w:p w14:paraId="5BA770A5">
            <w:pPr>
              <w:pStyle w:val="11"/>
              <w:spacing w:before="35" w:line="238" w:lineRule="auto"/>
              <w:ind w:left="45"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1.投标人进行了实地勘察、且经我方的勘察，投标人的设计质量安全保证体系及保证措施健全、措施得力、有效，得3(含)-4分；</w:t>
            </w:r>
          </w:p>
          <w:p w14:paraId="65E3902A">
            <w:pPr>
              <w:pStyle w:val="11"/>
              <w:spacing w:before="45" w:line="272" w:lineRule="auto"/>
              <w:ind w:left="45"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2.投标人进行了实地勘察、且经我方的勘察，投标人的设计质量安全保证体系及保证措施健全、措施一般，得1(含)-3分：</w:t>
            </w:r>
          </w:p>
          <w:p w14:paraId="4FA43D4F">
            <w:pPr>
              <w:pStyle w:val="11"/>
              <w:spacing w:before="25" w:line="219"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3.投标人未进行勘察、且经我方的勘察，投标人的设计质量安全保证体系及保证措施无法保证，得0分。</w:t>
            </w:r>
          </w:p>
        </w:tc>
      </w:tr>
      <w:tr w14:paraId="30E2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74" w:type="dxa"/>
          </w:tcPr>
          <w:p w14:paraId="40D18385">
            <w:pPr>
              <w:spacing w:line="203" w:lineRule="exact"/>
              <w:jc w:val="center"/>
              <w:rPr>
                <w:rFonts w:hint="eastAsia" w:ascii="仿宋" w:hAnsi="仿宋" w:eastAsia="仿宋" w:cs="仿宋"/>
                <w:szCs w:val="21"/>
              </w:rPr>
            </w:pPr>
          </w:p>
        </w:tc>
        <w:tc>
          <w:tcPr>
            <w:tcW w:w="1477" w:type="dxa"/>
          </w:tcPr>
          <w:p w14:paraId="00475B66">
            <w:pPr>
              <w:pStyle w:val="11"/>
              <w:spacing w:before="55" w:line="221" w:lineRule="auto"/>
              <w:ind w:left="62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564" w:type="dxa"/>
            <w:gridSpan w:val="2"/>
          </w:tcPr>
          <w:p w14:paraId="1DA234BC">
            <w:pPr>
              <w:pStyle w:val="11"/>
              <w:spacing w:before="82" w:line="184" w:lineRule="auto"/>
              <w:ind w:left="11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15</w:t>
            </w:r>
          </w:p>
        </w:tc>
        <w:tc>
          <w:tcPr>
            <w:tcW w:w="5764" w:type="dxa"/>
          </w:tcPr>
          <w:p w14:paraId="29BEE88B">
            <w:pPr>
              <w:spacing w:line="203" w:lineRule="exact"/>
              <w:jc w:val="center"/>
              <w:rPr>
                <w:rFonts w:hint="eastAsia" w:ascii="仿宋" w:hAnsi="仿宋" w:eastAsia="仿宋" w:cs="仿宋"/>
                <w:szCs w:val="21"/>
              </w:rPr>
            </w:pPr>
          </w:p>
        </w:tc>
      </w:tr>
    </w:tbl>
    <w:p w14:paraId="0CBC8B60">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02"/>
    <w:rsid w:val="000718EA"/>
    <w:rsid w:val="00277038"/>
    <w:rsid w:val="0037053B"/>
    <w:rsid w:val="004E46C6"/>
    <w:rsid w:val="004E6842"/>
    <w:rsid w:val="00595D93"/>
    <w:rsid w:val="00A02A55"/>
    <w:rsid w:val="00A8540C"/>
    <w:rsid w:val="00E37B02"/>
    <w:rsid w:val="00F14C76"/>
    <w:rsid w:val="00FC3A20"/>
    <w:rsid w:val="0368106D"/>
    <w:rsid w:val="107443D0"/>
    <w:rsid w:val="12F3070F"/>
    <w:rsid w:val="173E4D36"/>
    <w:rsid w:val="1A6A1AF8"/>
    <w:rsid w:val="2369654A"/>
    <w:rsid w:val="385B0E4C"/>
    <w:rsid w:val="3B3D2BD9"/>
    <w:rsid w:val="3C44721D"/>
    <w:rsid w:val="40FB226E"/>
    <w:rsid w:val="41166258"/>
    <w:rsid w:val="44F1663F"/>
    <w:rsid w:val="471B364B"/>
    <w:rsid w:val="4E66430D"/>
    <w:rsid w:val="59D6437F"/>
    <w:rsid w:val="5DDC7654"/>
    <w:rsid w:val="671A34A7"/>
    <w:rsid w:val="681F462E"/>
    <w:rsid w:val="76927A5E"/>
    <w:rsid w:val="7792495F"/>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Times New Roman" w:hAnsi="Times New Roman"/>
      <w:sz w:val="20"/>
      <w:szCs w:val="24"/>
    </w:rPr>
  </w:style>
  <w:style w:type="paragraph" w:styleId="5">
    <w:name w:val="Body Text First Indent 2"/>
    <w:basedOn w:val="4"/>
    <w:next w:val="1"/>
    <w:qFormat/>
    <w:uiPriority w:val="0"/>
    <w:pPr>
      <w:ind w:firstLine="420"/>
    </w:pPr>
    <w:rPr>
      <w:sz w:val="24"/>
    </w:rPr>
  </w:style>
  <w:style w:type="character" w:styleId="8">
    <w:name w:val="Strong"/>
    <w:basedOn w:val="7"/>
    <w:qFormat/>
    <w:uiPriority w:val="0"/>
    <w:rPr>
      <w:b/>
    </w:rPr>
  </w:style>
  <w:style w:type="paragraph" w:customStyle="1" w:styleId="9">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0">
    <w:name w:val="纯文本11"/>
    <w:basedOn w:val="1"/>
    <w:autoRedefine/>
    <w:qFormat/>
    <w:uiPriority w:val="0"/>
    <w:pPr>
      <w:tabs>
        <w:tab w:val="left" w:pos="709"/>
      </w:tabs>
      <w:adjustRightInd w:val="0"/>
      <w:snapToGrid w:val="0"/>
      <w:spacing w:line="400" w:lineRule="exact"/>
    </w:pPr>
    <w:rPr>
      <w:rFonts w:ascii="宋体" w:hAnsi="Courier New"/>
    </w:rPr>
  </w:style>
  <w:style w:type="paragraph" w:customStyle="1" w:styleId="11">
    <w:name w:val="Table Text"/>
    <w:basedOn w:val="1"/>
    <w:semiHidden/>
    <w:qFormat/>
    <w:uiPriority w:val="0"/>
    <w:rPr>
      <w:rFonts w:ascii="宋体" w:hAnsi="宋体" w:eastAsia="宋体" w:cs="宋体"/>
      <w:sz w:val="11"/>
      <w:szCs w:val="11"/>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纯文本2"/>
    <w:basedOn w:val="1"/>
    <w:autoRedefine/>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1371</Words>
  <Characters>1438</Characters>
  <Lines>60</Lines>
  <Paragraphs>54</Paragraphs>
  <TotalTime>3</TotalTime>
  <ScaleCrop>false</ScaleCrop>
  <LinksUpToDate>false</LinksUpToDate>
  <CharactersWithSpaces>1445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2025-05-21T10:05:00Z</dcterms:created>
  <dc:creator>Administrator</dc:creator>
  <cp:lastModifiedBy>马耶</cp:lastModifiedBy>
  <dcterms:modified xsi:type="dcterms:W3CDTF">2025-06-30T09:03:48Z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eyJoZGlkIjoiN2Y3ZTRmZWJkOWI4ZWNhMWUyYzc4OGYxODg1NjU4ZWUiLCJ1c2VySWQiOiIxNDg1ODY1MjY4In0=</vt:lpwstr>
  </property>
  <property fmtid="{D5CDD505-2E9C-101B-9397-08002B2CF9AE}" pid="4" name="ICV">
    <vt:lpwstr>7162A8444B2B46FC8DF9DCDEEF9BEF3E_12</vt:lpwstr>
  </property>
</Properties>
</file>