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86589">
      <w:pPr>
        <w:spacing w:line="360" w:lineRule="auto"/>
        <w:jc w:val="center"/>
        <w:rPr>
          <w:rFonts w:hint="eastAsia" w:ascii="宋体" w:hAnsi="宋体"/>
          <w:b/>
          <w:bCs/>
          <w:sz w:val="44"/>
          <w:szCs w:val="44"/>
        </w:rPr>
      </w:pPr>
      <w:r>
        <w:rPr>
          <w:rFonts w:hint="eastAsia" w:ascii="宋体" w:hAnsi="宋体"/>
          <w:b/>
          <w:bCs/>
          <w:sz w:val="44"/>
          <w:szCs w:val="44"/>
        </w:rPr>
        <w:t>铜陵市财经学校高低压配电工程项目</w:t>
      </w:r>
      <w:bookmarkStart w:id="44" w:name="_GoBack"/>
      <w:bookmarkEnd w:id="44"/>
      <w:r>
        <w:rPr>
          <w:rFonts w:hint="eastAsia" w:ascii="宋体" w:hAnsi="宋体"/>
          <w:b/>
          <w:bCs/>
          <w:sz w:val="44"/>
          <w:szCs w:val="44"/>
        </w:rPr>
        <w:t>评标方法及评分标准</w:t>
      </w:r>
    </w:p>
    <w:p w14:paraId="7DF168F2">
      <w:pPr>
        <w:pStyle w:val="9"/>
        <w:spacing w:line="360" w:lineRule="auto"/>
        <w:ind w:firstLine="562" w:firstLineChars="200"/>
        <w:outlineLvl w:val="0"/>
        <w:rPr>
          <w:rFonts w:hint="eastAsia" w:ascii="仿宋" w:hAnsi="仿宋" w:eastAsia="仿宋" w:cs="仿宋"/>
          <w:b/>
          <w:bCs/>
          <w:color w:val="000000" w:themeColor="text1"/>
          <w:sz w:val="28"/>
          <w:szCs w:val="28"/>
          <w14:textFill>
            <w14:solidFill>
              <w14:schemeClr w14:val="tx1"/>
            </w14:solidFill>
          </w14:textFill>
        </w:rPr>
      </w:pPr>
      <w:bookmarkStart w:id="0" w:name="_Toc523252171"/>
      <w:bookmarkStart w:id="1" w:name="_Toc2210"/>
      <w:bookmarkStart w:id="2" w:name="_Toc4088"/>
      <w:bookmarkStart w:id="3" w:name="_Toc8341"/>
      <w:bookmarkStart w:id="4" w:name="_Toc22526"/>
      <w:bookmarkStart w:id="5" w:name="_Toc21611"/>
      <w:bookmarkStart w:id="6" w:name="_Toc7672"/>
      <w:bookmarkStart w:id="7" w:name="_Toc2517"/>
      <w:bookmarkStart w:id="8" w:name="_Toc9644"/>
      <w:bookmarkStart w:id="9" w:name="_Toc6108"/>
      <w:bookmarkStart w:id="10" w:name="_Toc18660"/>
      <w:bookmarkStart w:id="11" w:name="_Toc16911"/>
      <w:bookmarkStart w:id="12" w:name="_Toc955"/>
      <w:bookmarkStart w:id="13" w:name="_Toc29456"/>
      <w:bookmarkStart w:id="14" w:name="_Toc5488"/>
      <w:bookmarkStart w:id="15" w:name="_Toc27930"/>
      <w:bookmarkStart w:id="16" w:name="_Toc21260"/>
      <w:bookmarkStart w:id="17" w:name="_Toc26240"/>
      <w:bookmarkStart w:id="18" w:name="_Toc28933"/>
      <w:bookmarkStart w:id="19" w:name="_Toc5296"/>
      <w:bookmarkStart w:id="20" w:name="_Toc4787"/>
      <w:bookmarkStart w:id="21" w:name="_Toc7319"/>
      <w:bookmarkStart w:id="22" w:name="_Toc1184"/>
      <w:bookmarkStart w:id="23" w:name="_Toc19606"/>
      <w:bookmarkStart w:id="24" w:name="_Toc15042"/>
      <w:bookmarkStart w:id="25" w:name="_Toc25890"/>
      <w:bookmarkStart w:id="26" w:name="_Toc8716"/>
      <w:bookmarkStart w:id="27" w:name="_Toc28649"/>
      <w:bookmarkStart w:id="28" w:name="_Toc25224"/>
      <w:bookmarkStart w:id="29" w:name="_Toc31475"/>
      <w:bookmarkStart w:id="30" w:name="_Toc2040"/>
      <w:bookmarkStart w:id="31" w:name="_Toc7703"/>
      <w:bookmarkStart w:id="32" w:name="_Toc25810"/>
      <w:bookmarkStart w:id="33" w:name="_Toc32203"/>
      <w:bookmarkStart w:id="34" w:name="_Toc522694205"/>
      <w:bookmarkStart w:id="35" w:name="_Toc30500"/>
      <w:bookmarkStart w:id="36" w:name="_Toc50835321"/>
      <w:bookmarkStart w:id="37" w:name="_Toc32399"/>
      <w:bookmarkStart w:id="38" w:name="_Toc22813"/>
      <w:bookmarkStart w:id="39" w:name="_Toc8144"/>
      <w:bookmarkStart w:id="40" w:name="_Toc6978"/>
      <w:bookmarkStart w:id="41" w:name="_Toc4805"/>
      <w:bookmarkStart w:id="42" w:name="_Toc25600"/>
      <w:bookmarkStart w:id="43" w:name="_Toc23746"/>
      <w:r>
        <w:rPr>
          <w:rFonts w:hint="eastAsia" w:ascii="仿宋" w:hAnsi="仿宋" w:eastAsia="仿宋" w:cs="仿宋"/>
          <w:b/>
          <w:bCs/>
          <w:sz w:val="28"/>
          <w:szCs w:val="28"/>
        </w:rPr>
        <w:t>一、评</w:t>
      </w:r>
      <w:r>
        <w:rPr>
          <w:rFonts w:hint="eastAsia" w:ascii="仿宋" w:hAnsi="仿宋" w:eastAsia="仿宋" w:cs="仿宋"/>
          <w:b/>
          <w:bCs/>
          <w:color w:val="000000" w:themeColor="text1"/>
          <w:sz w:val="28"/>
          <w:szCs w:val="28"/>
          <w14:textFill>
            <w14:solidFill>
              <w14:schemeClr w14:val="tx1"/>
            </w14:solidFill>
          </w14:textFill>
        </w:rPr>
        <w:t>标方法：</w:t>
      </w:r>
    </w:p>
    <w:p w14:paraId="238C5A59">
      <w:pPr>
        <w:pStyle w:val="9"/>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1、评标方法采用综合评分法，总分值为100分。即在最大限度地满足招标文件实质性要求前提下，按照招标文件中规定的各项因素进行综合评审。评标先对投标人进行</w:t>
      </w:r>
      <w:r>
        <w:rPr>
          <w:rFonts w:hint="eastAsia" w:ascii="仿宋" w:hAnsi="仿宋" w:eastAsia="仿宋" w:cs="仿宋"/>
          <w:color w:val="000000" w:themeColor="text1"/>
          <w:sz w:val="28"/>
          <w:szCs w:val="28"/>
          <w:lang w:val="zh-CN"/>
          <w14:textFill>
            <w14:solidFill>
              <w14:schemeClr w14:val="tx1"/>
            </w14:solidFill>
          </w14:textFill>
        </w:rPr>
        <w:t>资格审查，</w:t>
      </w:r>
      <w:r>
        <w:rPr>
          <w:rFonts w:hint="eastAsia" w:ascii="仿宋" w:hAnsi="仿宋" w:eastAsia="仿宋" w:cs="仿宋"/>
          <w:color w:val="000000" w:themeColor="text1"/>
          <w:sz w:val="28"/>
          <w:szCs w:val="28"/>
          <w14:textFill>
            <w14:solidFill>
              <w14:schemeClr w14:val="tx1"/>
            </w14:solidFill>
          </w14:textFill>
        </w:rPr>
        <w:t>若投标人无相关营业执照副本、资质证书（有些行业无资质证书）则总评标分为0分，且不参与后续评标；若投标人有相关营业执照副本、资质证书，评审因素及各比重如下：价格评价占总分值的70%（权重）；商务评价占总分值的15%（权重）；技术评价占总分值的15%（权重）。（保留小数点后二位）。</w:t>
      </w:r>
    </w:p>
    <w:p w14:paraId="29B0D525">
      <w:pPr>
        <w:pStyle w:val="9"/>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2、评审内容：</w:t>
      </w:r>
    </w:p>
    <w:p w14:paraId="3EF060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560" w:firstLineChars="200"/>
        <w:jc w:val="both"/>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价格评价：低价优先法，此方法以符合招标条件的最低报价为基准价，其他报价得分与之成反比。</w:t>
      </w:r>
    </w:p>
    <w:p w14:paraId="38DCDEBF">
      <w:pPr>
        <w:pStyle w:val="9"/>
        <w:spacing w:line="360" w:lineRule="auto"/>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商务评价：投标文件响应</w:t>
      </w:r>
      <w:r>
        <w:rPr>
          <w:rFonts w:hint="eastAsia" w:ascii="仿宋" w:hAnsi="仿宋" w:eastAsia="仿宋" w:cs="仿宋"/>
          <w:color w:val="000000" w:themeColor="text1"/>
          <w:sz w:val="28"/>
          <w:szCs w:val="28"/>
          <w:lang w:val="en-US" w:eastAsia="zh-CN"/>
          <w14:textFill>
            <w14:solidFill>
              <w14:schemeClr w14:val="tx1"/>
            </w14:solidFill>
          </w14:textFill>
        </w:rPr>
        <w:t>符合度、</w:t>
      </w:r>
      <w:r>
        <w:rPr>
          <w:rFonts w:hint="eastAsia" w:ascii="仿宋" w:hAnsi="仿宋" w:eastAsia="仿宋" w:cs="仿宋"/>
          <w:color w:val="000000" w:themeColor="text1"/>
          <w:sz w:val="28"/>
          <w:szCs w:val="28"/>
          <w14:textFill>
            <w14:solidFill>
              <w14:schemeClr w14:val="tx1"/>
            </w14:solidFill>
          </w14:textFill>
        </w:rPr>
        <w:t>业绩</w:t>
      </w:r>
      <w:r>
        <w:rPr>
          <w:rFonts w:hint="eastAsia" w:ascii="仿宋" w:hAnsi="仿宋" w:eastAsia="仿宋" w:cs="仿宋"/>
          <w:color w:val="000000" w:themeColor="text1"/>
          <w:sz w:val="28"/>
          <w:szCs w:val="28"/>
          <w:lang w:val="en-US" w:eastAsia="zh-CN"/>
          <w14:textFill>
            <w14:solidFill>
              <w14:schemeClr w14:val="tx1"/>
            </w14:solidFill>
          </w14:textFill>
        </w:rPr>
        <w:t>等；</w:t>
      </w:r>
    </w:p>
    <w:p w14:paraId="08C1CEE2">
      <w:pPr>
        <w:pStyle w:val="9"/>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技术评价：</w:t>
      </w:r>
      <w:r>
        <w:rPr>
          <w:rFonts w:hint="eastAsia" w:ascii="仿宋" w:hAnsi="仿宋" w:eastAsia="仿宋" w:cs="仿宋"/>
          <w:color w:val="000000" w:themeColor="text1"/>
          <w:sz w:val="28"/>
          <w:szCs w:val="28"/>
          <w:lang w:val="en-US" w:eastAsia="zh-CN"/>
          <w14:textFill>
            <w14:solidFill>
              <w14:schemeClr w14:val="tx1"/>
            </w14:solidFill>
          </w14:textFill>
        </w:rPr>
        <w:t>从业人员资质证书</w:t>
      </w:r>
      <w:r>
        <w:rPr>
          <w:rFonts w:hint="eastAsia" w:ascii="仿宋" w:hAnsi="仿宋" w:eastAsia="仿宋" w:cs="仿宋"/>
          <w:color w:val="000000" w:themeColor="text1"/>
          <w:sz w:val="28"/>
          <w:szCs w:val="28"/>
          <w14:textFill>
            <w14:solidFill>
              <w14:schemeClr w14:val="tx1"/>
            </w14:solidFill>
          </w14:textFill>
        </w:rPr>
        <w:t>、勘察</w:t>
      </w:r>
      <w:r>
        <w:rPr>
          <w:rFonts w:hint="eastAsia" w:ascii="仿宋" w:hAnsi="仿宋" w:eastAsia="仿宋" w:cs="仿宋"/>
          <w:color w:val="000000" w:themeColor="text1"/>
          <w:sz w:val="28"/>
          <w:szCs w:val="28"/>
          <w:lang w:val="en-US" w:eastAsia="zh-CN"/>
          <w14:textFill>
            <w14:solidFill>
              <w14:schemeClr w14:val="tx1"/>
            </w14:solidFill>
          </w14:textFill>
        </w:rPr>
        <w:t>及施工</w:t>
      </w:r>
      <w:r>
        <w:rPr>
          <w:rFonts w:hint="eastAsia" w:ascii="仿宋" w:hAnsi="仿宋" w:eastAsia="仿宋" w:cs="仿宋"/>
          <w:color w:val="000000" w:themeColor="text1"/>
          <w:sz w:val="28"/>
          <w:szCs w:val="28"/>
          <w14:textFill>
            <w14:solidFill>
              <w14:schemeClr w14:val="tx1"/>
            </w14:solidFill>
          </w14:textFill>
        </w:rPr>
        <w:t>质量安全保证体系及保证措施等；</w:t>
      </w:r>
    </w:p>
    <w:p w14:paraId="33219E3D">
      <w:pPr>
        <w:pStyle w:val="9"/>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3、评标时，评标委员会对每个有效投标人的投标书进行评分，对评委的评分进行统计汇总，按算术平均方法计算出每个投标人的评审得分。（保留小数点后2位）</w:t>
      </w:r>
    </w:p>
    <w:p w14:paraId="0DDE09FA">
      <w:pPr>
        <w:pStyle w:val="9"/>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评标结果按评审后得分由高到低顺序排列。得分相同的，按投标报价由低到高顺序排列。得分且投标报价相同的抽签确定排序。投标文件满足招标文件全部实质性要求，且按照评审因素的量化指标评审得分最高且排名第一的投标人为中标人。</w:t>
      </w:r>
    </w:p>
    <w:p w14:paraId="41D83F23">
      <w:pPr>
        <w:pStyle w:val="9"/>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如果某投标人的投标报价中有漏项，则该投标方的投标价格评分时需加上漏项部分，漏项部分的价格按所有投标方中相应部分所报的最高价格计算，如果该投标人中标，则其中标价不能调整，即漏项部分的价格需该投标人自行消化，如构成未实质性响应招标文件要求的，将不得中标。</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70EA356E">
      <w:pPr>
        <w:pStyle w:val="9"/>
        <w:spacing w:line="360" w:lineRule="auto"/>
        <w:ind w:firstLine="562" w:firstLineChars="200"/>
        <w:outlineLvl w:val="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二、综合评分标准：</w:t>
      </w:r>
    </w:p>
    <w:p w14:paraId="00979686">
      <w:pPr>
        <w:pStyle w:val="10"/>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（一）价格评分（70分）</w:t>
      </w:r>
    </w:p>
    <w:p w14:paraId="0DA9EBAA">
      <w:pPr>
        <w:pStyle w:val="10"/>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低价优先法，</w:t>
      </w:r>
      <w:r>
        <w:rPr>
          <w:rFonts w:hint="eastAsia" w:ascii="仿宋" w:hAnsi="仿宋" w:eastAsia="仿宋" w:cs="仿宋"/>
          <w:color w:val="000000" w:themeColor="text1"/>
          <w:sz w:val="28"/>
          <w:szCs w:val="28"/>
          <w14:textFill>
            <w14:solidFill>
              <w14:schemeClr w14:val="tx1"/>
            </w14:solidFill>
          </w14:textFill>
        </w:rPr>
        <w:t>计算公式为：价格分 =（评标基准价 / 投标报价）× 价格权值</w:t>
      </w:r>
      <w:r>
        <w:rPr>
          <w:rFonts w:hint="eastAsia" w:ascii="仿宋" w:hAnsi="仿宋" w:eastAsia="仿宋" w:cs="仿宋"/>
          <w:color w:val="000000" w:themeColor="text1"/>
          <w:sz w:val="28"/>
          <w:szCs w:val="28"/>
          <w:lang w:val="en-US" w:eastAsia="zh-CN"/>
          <w14:textFill>
            <w14:solidFill>
              <w14:schemeClr w14:val="tx1"/>
            </w14:solidFill>
          </w14:textFill>
        </w:rPr>
        <w:t>70</w:t>
      </w:r>
      <w:r>
        <w:rPr>
          <w:rFonts w:hint="eastAsia" w:ascii="仿宋" w:hAnsi="仿宋" w:eastAsia="仿宋" w:cs="仿宋"/>
          <w:color w:val="000000" w:themeColor="text1"/>
          <w:sz w:val="28"/>
          <w:szCs w:val="28"/>
          <w14:textFill>
            <w14:solidFill>
              <w14:schemeClr w14:val="tx1"/>
            </w14:solidFill>
          </w14:textFill>
        </w:rPr>
        <w:t xml:space="preserve"> × 100</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​（保留小数点后2位）</w:t>
      </w:r>
    </w:p>
    <w:p w14:paraId="6742F13E">
      <w:pPr>
        <w:pStyle w:val="10"/>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p>
    <w:p w14:paraId="0452DA76">
      <w:pPr>
        <w:pStyle w:val="10"/>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w:t>
      </w:r>
      <w:r>
        <w:rPr>
          <w:rFonts w:hint="eastAsia" w:ascii="仿宋" w:hAnsi="仿宋" w:eastAsia="仿宋" w:cs="仿宋"/>
          <w:b/>
          <w:color w:val="000000" w:themeColor="text1"/>
          <w:sz w:val="28"/>
          <w:szCs w:val="28"/>
          <w:lang w:val="en-US" w:eastAsia="zh-CN"/>
          <w14:textFill>
            <w14:solidFill>
              <w14:schemeClr w14:val="tx1"/>
            </w14:solidFill>
          </w14:textFill>
        </w:rPr>
        <w:t>二</w:t>
      </w:r>
      <w:r>
        <w:rPr>
          <w:rFonts w:hint="eastAsia" w:ascii="仿宋" w:hAnsi="仿宋" w:eastAsia="仿宋" w:cs="仿宋"/>
          <w:b/>
          <w:color w:val="000000" w:themeColor="text1"/>
          <w:sz w:val="28"/>
          <w:szCs w:val="28"/>
          <w14:textFill>
            <w14:solidFill>
              <w14:schemeClr w14:val="tx1"/>
            </w14:solidFill>
          </w14:textFill>
        </w:rPr>
        <w:t>）</w:t>
      </w:r>
      <w:r>
        <w:rPr>
          <w:rFonts w:hint="eastAsia" w:ascii="仿宋" w:hAnsi="仿宋" w:eastAsia="仿宋" w:cs="仿宋"/>
          <w:b/>
          <w:color w:val="000000" w:themeColor="text1"/>
          <w:sz w:val="28"/>
          <w:szCs w:val="28"/>
          <w:lang w:val="en-US" w:eastAsia="zh-CN"/>
          <w14:textFill>
            <w14:solidFill>
              <w14:schemeClr w14:val="tx1"/>
            </w14:solidFill>
          </w14:textFill>
        </w:rPr>
        <w:t>商务</w:t>
      </w:r>
      <w:r>
        <w:rPr>
          <w:rFonts w:hint="eastAsia" w:ascii="仿宋" w:hAnsi="仿宋" w:eastAsia="仿宋" w:cs="仿宋"/>
          <w:b/>
          <w:color w:val="000000" w:themeColor="text1"/>
          <w:sz w:val="28"/>
          <w:szCs w:val="28"/>
          <w14:textFill>
            <w14:solidFill>
              <w14:schemeClr w14:val="tx1"/>
            </w14:solidFill>
          </w14:textFill>
        </w:rPr>
        <w:t>评分（</w:t>
      </w:r>
      <w:r>
        <w:rPr>
          <w:rFonts w:hint="eastAsia" w:ascii="仿宋" w:hAnsi="仿宋" w:eastAsia="仿宋" w:cs="仿宋"/>
          <w:b/>
          <w:color w:val="000000" w:themeColor="text1"/>
          <w:sz w:val="28"/>
          <w:szCs w:val="28"/>
          <w:lang w:val="en-US" w:eastAsia="zh-CN"/>
          <w14:textFill>
            <w14:solidFill>
              <w14:schemeClr w14:val="tx1"/>
            </w14:solidFill>
          </w14:textFill>
        </w:rPr>
        <w:t>15</w:t>
      </w:r>
      <w:r>
        <w:rPr>
          <w:rFonts w:hint="eastAsia" w:ascii="仿宋" w:hAnsi="仿宋" w:eastAsia="仿宋" w:cs="仿宋"/>
          <w:b/>
          <w:color w:val="000000" w:themeColor="text1"/>
          <w:sz w:val="28"/>
          <w:szCs w:val="28"/>
          <w14:textFill>
            <w14:solidFill>
              <w14:schemeClr w14:val="tx1"/>
            </w14:solidFill>
          </w14:textFill>
        </w:rPr>
        <w:t>分）</w:t>
      </w:r>
    </w:p>
    <w:tbl>
      <w:tblPr>
        <w:tblStyle w:val="12"/>
        <w:tblW w:w="82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1558"/>
        <w:gridCol w:w="473"/>
        <w:gridCol w:w="5764"/>
      </w:tblGrid>
      <w:tr w14:paraId="0F10E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484" w:type="dxa"/>
          </w:tcPr>
          <w:p w14:paraId="53A1815A">
            <w:pPr>
              <w:pStyle w:val="11"/>
              <w:spacing w:before="80" w:line="221" w:lineRule="auto"/>
              <w:ind w:left="125"/>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序号</w:t>
            </w:r>
          </w:p>
        </w:tc>
        <w:tc>
          <w:tcPr>
            <w:tcW w:w="1558" w:type="dxa"/>
          </w:tcPr>
          <w:p w14:paraId="6E7554FD">
            <w:pPr>
              <w:pStyle w:val="11"/>
              <w:spacing w:before="79" w:line="220" w:lineRule="auto"/>
              <w:ind w:left="501"/>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评标项目</w:t>
            </w:r>
          </w:p>
        </w:tc>
        <w:tc>
          <w:tcPr>
            <w:tcW w:w="473" w:type="dxa"/>
          </w:tcPr>
          <w:p w14:paraId="2522614E">
            <w:pPr>
              <w:pStyle w:val="11"/>
              <w:spacing w:before="79" w:line="219" w:lineRule="auto"/>
              <w:ind w:left="104"/>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分值</w:t>
            </w:r>
          </w:p>
        </w:tc>
        <w:tc>
          <w:tcPr>
            <w:tcW w:w="5764" w:type="dxa"/>
          </w:tcPr>
          <w:p w14:paraId="09629297">
            <w:pPr>
              <w:pStyle w:val="11"/>
              <w:spacing w:before="79" w:line="220" w:lineRule="auto"/>
              <w:ind w:left="1225"/>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评分标准</w:t>
            </w:r>
          </w:p>
        </w:tc>
      </w:tr>
      <w:tr w14:paraId="639E7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484" w:type="dxa"/>
          </w:tcPr>
          <w:p w14:paraId="1CBC93E8">
            <w:pPr>
              <w:pStyle w:val="11"/>
              <w:spacing w:before="36" w:line="184" w:lineRule="auto"/>
              <w:ind w:left="205"/>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p>
        </w:tc>
        <w:tc>
          <w:tcPr>
            <w:tcW w:w="1558" w:type="dxa"/>
          </w:tcPr>
          <w:p w14:paraId="0714C8C2">
            <w:pPr>
              <w:pStyle w:val="9"/>
              <w:spacing w:line="360" w:lineRule="auto"/>
              <w:ind w:firstLine="42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投标文件响应招标文件</w:t>
            </w:r>
            <w:r>
              <w:rPr>
                <w:rFonts w:hint="eastAsia" w:ascii="仿宋" w:hAnsi="仿宋" w:eastAsia="仿宋" w:cs="仿宋"/>
                <w:color w:val="000000" w:themeColor="text1"/>
                <w:sz w:val="21"/>
                <w:szCs w:val="21"/>
                <w:lang w:val="en-US" w:eastAsia="zh-CN"/>
                <w14:textFill>
                  <w14:solidFill>
                    <w14:schemeClr w14:val="tx1"/>
                  </w14:solidFill>
                </w14:textFill>
              </w:rPr>
              <w:t>满足</w:t>
            </w:r>
            <w:r>
              <w:rPr>
                <w:rFonts w:hint="eastAsia" w:ascii="仿宋" w:hAnsi="仿宋" w:eastAsia="仿宋" w:cs="仿宋"/>
                <w:color w:val="000000" w:themeColor="text1"/>
                <w:sz w:val="21"/>
                <w:szCs w:val="21"/>
                <w14:textFill>
                  <w14:solidFill>
                    <w14:schemeClr w14:val="tx1"/>
                  </w14:solidFill>
                </w14:textFill>
              </w:rPr>
              <w:t>要求，交货期、付款条件及方式、质保期等与招标文件匹配程度</w:t>
            </w:r>
          </w:p>
          <w:p w14:paraId="19554519">
            <w:pPr>
              <w:pStyle w:val="11"/>
              <w:spacing w:before="215" w:line="373" w:lineRule="auto"/>
              <w:ind w:left="1" w:firstLine="29"/>
              <w:jc w:val="center"/>
              <w:rPr>
                <w:rFonts w:hint="eastAsia" w:ascii="仿宋" w:hAnsi="仿宋" w:eastAsia="仿宋" w:cs="仿宋"/>
                <w:color w:val="000000" w:themeColor="text1"/>
                <w:sz w:val="21"/>
                <w:szCs w:val="21"/>
                <w:lang w:eastAsia="zh-CN"/>
                <w14:textFill>
                  <w14:solidFill>
                    <w14:schemeClr w14:val="tx1"/>
                  </w14:solidFill>
                </w14:textFill>
              </w:rPr>
            </w:pPr>
          </w:p>
        </w:tc>
        <w:tc>
          <w:tcPr>
            <w:tcW w:w="473" w:type="dxa"/>
          </w:tcPr>
          <w:p w14:paraId="510F09D6">
            <w:pPr>
              <w:pStyle w:val="11"/>
              <w:spacing w:before="36" w:line="184" w:lineRule="auto"/>
              <w:ind w:left="154"/>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w:t>
            </w:r>
          </w:p>
        </w:tc>
        <w:tc>
          <w:tcPr>
            <w:tcW w:w="5764" w:type="dxa"/>
          </w:tcPr>
          <w:p w14:paraId="2C6A36E0">
            <w:pPr>
              <w:pStyle w:val="11"/>
              <w:spacing w:before="45" w:line="219" w:lineRule="auto"/>
              <w:jc w:val="left"/>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1.好，完全符合招标文件要求：6(含)-8分；</w:t>
            </w:r>
          </w:p>
          <w:p w14:paraId="39064506">
            <w:pPr>
              <w:pStyle w:val="11"/>
              <w:spacing w:before="11" w:line="429" w:lineRule="exact"/>
              <w:jc w:val="left"/>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2.较好，基本符合招标文件要求，招标人可以接受招标文件中的变动条款：4(含)-6分；</w:t>
            </w:r>
          </w:p>
          <w:p w14:paraId="480309CC">
            <w:pPr>
              <w:pStyle w:val="11"/>
              <w:spacing w:before="11" w:line="429" w:lineRule="exact"/>
              <w:jc w:val="left"/>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3.一般，不完全符合招标文件要求，投标文件的条款需要协商：2(含)-4分。</w:t>
            </w:r>
          </w:p>
          <w:p w14:paraId="60714E83">
            <w:pPr>
              <w:pStyle w:val="11"/>
              <w:spacing w:before="11" w:line="429" w:lineRule="exact"/>
              <w:jc w:val="left"/>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4.差，不符合招标文件要求，投标文件条款无法满足我方招标需求:0-2分</w:t>
            </w:r>
          </w:p>
        </w:tc>
      </w:tr>
      <w:tr w14:paraId="6326C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84" w:type="dxa"/>
          </w:tcPr>
          <w:p w14:paraId="1AD7137E">
            <w:pPr>
              <w:pStyle w:val="11"/>
              <w:spacing w:before="199" w:line="183" w:lineRule="auto"/>
              <w:ind w:left="205"/>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2</w:t>
            </w:r>
          </w:p>
        </w:tc>
        <w:tc>
          <w:tcPr>
            <w:tcW w:w="1558" w:type="dxa"/>
          </w:tcPr>
          <w:p w14:paraId="26FD9092">
            <w:pPr>
              <w:pStyle w:val="11"/>
              <w:spacing w:before="171" w:line="219" w:lineRule="auto"/>
              <w:ind w:left="81"/>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业绩分</w:t>
            </w:r>
          </w:p>
        </w:tc>
        <w:tc>
          <w:tcPr>
            <w:tcW w:w="473" w:type="dxa"/>
          </w:tcPr>
          <w:p w14:paraId="445678BA">
            <w:pPr>
              <w:pStyle w:val="11"/>
              <w:spacing w:before="199" w:line="183" w:lineRule="auto"/>
              <w:ind w:left="154"/>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7</w:t>
            </w:r>
          </w:p>
        </w:tc>
        <w:tc>
          <w:tcPr>
            <w:tcW w:w="5764" w:type="dxa"/>
          </w:tcPr>
          <w:p w14:paraId="101252C8">
            <w:pPr>
              <w:pStyle w:val="11"/>
              <w:spacing w:before="71" w:line="289" w:lineRule="auto"/>
              <w:ind w:left="65" w:right="17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每</w:t>
            </w:r>
            <w:r>
              <w:rPr>
                <w:rFonts w:hint="eastAsia" w:ascii="仿宋" w:hAnsi="仿宋" w:eastAsia="仿宋" w:cs="仿宋"/>
                <w:sz w:val="21"/>
                <w:szCs w:val="21"/>
                <w:lang w:val="en-US" w:eastAsia="zh-CN"/>
              </w:rPr>
              <w:t>提供</w:t>
            </w:r>
            <w:r>
              <w:rPr>
                <w:rFonts w:hint="eastAsia" w:ascii="仿宋" w:hAnsi="仿宋" w:eastAsia="仿宋" w:cs="仿宋"/>
                <w:sz w:val="21"/>
                <w:szCs w:val="21"/>
                <w:lang w:eastAsia="zh-CN"/>
              </w:rPr>
              <w:t>一个</w:t>
            </w:r>
            <w:r>
              <w:rPr>
                <w:rFonts w:hint="eastAsia" w:ascii="仿宋" w:hAnsi="仿宋" w:eastAsia="仿宋" w:cs="仿宋"/>
                <w:sz w:val="21"/>
                <w:szCs w:val="21"/>
                <w:lang w:val="en-US" w:eastAsia="zh-CN"/>
              </w:rPr>
              <w:t>3年内有效的</w:t>
            </w:r>
            <w:r>
              <w:rPr>
                <w:rFonts w:hint="eastAsia" w:ascii="仿宋" w:hAnsi="仿宋" w:eastAsia="仿宋" w:cs="仿宋"/>
                <w:sz w:val="21"/>
                <w:szCs w:val="21"/>
                <w:lang w:eastAsia="zh-CN"/>
              </w:rPr>
              <w:t>业绩加2分，最高得7分。（</w:t>
            </w:r>
            <w:r>
              <w:rPr>
                <w:rFonts w:hint="eastAsia" w:ascii="仿宋" w:hAnsi="仿宋" w:eastAsia="仿宋" w:cs="仿宋"/>
                <w:sz w:val="21"/>
                <w:szCs w:val="21"/>
                <w:lang w:val="en-US" w:eastAsia="zh-CN"/>
              </w:rPr>
              <w:t>提供4个及以上得7分</w:t>
            </w:r>
            <w:r>
              <w:rPr>
                <w:rFonts w:hint="eastAsia" w:ascii="仿宋" w:hAnsi="仿宋" w:eastAsia="仿宋" w:cs="仿宋"/>
                <w:sz w:val="21"/>
                <w:szCs w:val="21"/>
                <w:lang w:eastAsia="zh-CN"/>
              </w:rPr>
              <w:t>）</w:t>
            </w:r>
          </w:p>
        </w:tc>
      </w:tr>
      <w:tr w14:paraId="0BCE1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84" w:type="dxa"/>
          </w:tcPr>
          <w:p w14:paraId="7138188B">
            <w:pPr>
              <w:jc w:val="center"/>
              <w:rPr>
                <w:rFonts w:hint="eastAsia" w:ascii="仿宋" w:hAnsi="仿宋" w:eastAsia="仿宋" w:cs="仿宋"/>
                <w:szCs w:val="21"/>
              </w:rPr>
            </w:pPr>
          </w:p>
        </w:tc>
        <w:tc>
          <w:tcPr>
            <w:tcW w:w="1558" w:type="dxa"/>
          </w:tcPr>
          <w:p w14:paraId="5EAB1F95">
            <w:pPr>
              <w:pStyle w:val="11"/>
              <w:spacing w:before="85" w:line="221" w:lineRule="auto"/>
              <w:ind w:left="61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合计</w:t>
            </w:r>
          </w:p>
        </w:tc>
        <w:tc>
          <w:tcPr>
            <w:tcW w:w="473" w:type="dxa"/>
          </w:tcPr>
          <w:p w14:paraId="06FF4993">
            <w:pPr>
              <w:pStyle w:val="11"/>
              <w:spacing w:before="112" w:line="184" w:lineRule="auto"/>
              <w:ind w:left="124"/>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15</w:t>
            </w:r>
          </w:p>
        </w:tc>
        <w:tc>
          <w:tcPr>
            <w:tcW w:w="5764" w:type="dxa"/>
          </w:tcPr>
          <w:p w14:paraId="0748D371">
            <w:pPr>
              <w:jc w:val="center"/>
              <w:rPr>
                <w:rFonts w:hint="eastAsia" w:ascii="仿宋" w:hAnsi="仿宋" w:eastAsia="仿宋" w:cs="仿宋"/>
                <w:szCs w:val="21"/>
              </w:rPr>
            </w:pPr>
          </w:p>
        </w:tc>
      </w:tr>
    </w:tbl>
    <w:p w14:paraId="2A4F2F67">
      <w:pPr>
        <w:pStyle w:val="10"/>
        <w:ind w:firstLine="562" w:firstLineChars="200"/>
        <w:rPr>
          <w:rFonts w:hint="eastAsia" w:ascii="仿宋" w:hAnsi="仿宋" w:eastAsia="仿宋" w:cs="仿宋"/>
          <w:b/>
          <w:sz w:val="28"/>
          <w:szCs w:val="28"/>
          <w:lang w:val="en-US" w:eastAsia="zh-CN"/>
        </w:rPr>
      </w:pPr>
    </w:p>
    <w:p w14:paraId="245354C6">
      <w:pPr>
        <w:pStyle w:val="10"/>
        <w:ind w:firstLine="562" w:firstLineChars="20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（三）技术评分标准表（15分）</w:t>
      </w:r>
    </w:p>
    <w:tbl>
      <w:tblPr>
        <w:tblStyle w:val="12"/>
        <w:tblW w:w="82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477"/>
        <w:gridCol w:w="10"/>
        <w:gridCol w:w="554"/>
        <w:gridCol w:w="5764"/>
      </w:tblGrid>
      <w:tr w14:paraId="79292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474" w:type="dxa"/>
          </w:tcPr>
          <w:p w14:paraId="715511EB">
            <w:pPr>
              <w:pStyle w:val="11"/>
              <w:spacing w:before="89" w:line="211" w:lineRule="auto"/>
              <w:ind w:left="124"/>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序号</w:t>
            </w:r>
          </w:p>
        </w:tc>
        <w:tc>
          <w:tcPr>
            <w:tcW w:w="1487" w:type="dxa"/>
            <w:gridSpan w:val="2"/>
          </w:tcPr>
          <w:p w14:paraId="102513C8">
            <w:pPr>
              <w:pStyle w:val="11"/>
              <w:spacing w:before="89" w:line="212" w:lineRule="auto"/>
              <w:ind w:left="531"/>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评标项目</w:t>
            </w:r>
          </w:p>
        </w:tc>
        <w:tc>
          <w:tcPr>
            <w:tcW w:w="554" w:type="dxa"/>
          </w:tcPr>
          <w:p w14:paraId="34C209D2">
            <w:pPr>
              <w:pStyle w:val="11"/>
              <w:spacing w:before="89" w:line="212" w:lineRule="auto"/>
              <w:ind w:left="94"/>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分值</w:t>
            </w:r>
          </w:p>
        </w:tc>
        <w:tc>
          <w:tcPr>
            <w:tcW w:w="5764" w:type="dxa"/>
          </w:tcPr>
          <w:p w14:paraId="585BCE40">
            <w:pPr>
              <w:pStyle w:val="11"/>
              <w:spacing w:before="89" w:line="212" w:lineRule="auto"/>
              <w:ind w:left="1235"/>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评分标准</w:t>
            </w:r>
          </w:p>
        </w:tc>
      </w:tr>
      <w:tr w14:paraId="66F79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74" w:type="dxa"/>
          </w:tcPr>
          <w:p w14:paraId="700C01B1">
            <w:pPr>
              <w:pStyle w:val="11"/>
              <w:spacing w:before="32" w:line="184" w:lineRule="auto"/>
              <w:ind w:left="204"/>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1</w:t>
            </w:r>
          </w:p>
        </w:tc>
        <w:tc>
          <w:tcPr>
            <w:tcW w:w="1487" w:type="dxa"/>
            <w:gridSpan w:val="2"/>
          </w:tcPr>
          <w:p w14:paraId="5DE1F33D">
            <w:pPr>
              <w:pStyle w:val="11"/>
              <w:spacing w:before="255" w:line="219" w:lineRule="auto"/>
              <w:ind w:left="13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从业人员资质证书</w:t>
            </w:r>
          </w:p>
        </w:tc>
        <w:tc>
          <w:tcPr>
            <w:tcW w:w="554" w:type="dxa"/>
          </w:tcPr>
          <w:p w14:paraId="2A598048">
            <w:pPr>
              <w:pStyle w:val="11"/>
              <w:spacing w:before="32" w:line="182" w:lineRule="auto"/>
              <w:ind w:left="174"/>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5764" w:type="dxa"/>
          </w:tcPr>
          <w:p w14:paraId="3567B5B6">
            <w:pPr>
              <w:keepNext w:val="0"/>
              <w:keepLines w:val="0"/>
              <w:widowControl/>
              <w:suppressLineNumbers w:val="0"/>
              <w:jc w:val="left"/>
              <w:rPr>
                <w:rFonts w:hint="default" w:ascii="仿宋" w:hAnsi="仿宋" w:eastAsia="仿宋" w:cs="仿宋"/>
                <w:sz w:val="21"/>
                <w:szCs w:val="21"/>
                <w:lang w:val="en-US" w:eastAsia="zh-CN"/>
              </w:rPr>
            </w:pPr>
            <w:r>
              <w:rPr>
                <w:rFonts w:hint="eastAsia" w:ascii="仿宋" w:hAnsi="仿宋" w:eastAsia="仿宋" w:cs="仿宋"/>
                <w:kern w:val="2"/>
                <w:sz w:val="21"/>
                <w:szCs w:val="21"/>
                <w:lang w:val="en-US" w:eastAsia="zh-CN" w:bidi="ar-SA"/>
              </w:rPr>
              <w:t>提供业人员电力相关的资质证书照片，如：特种作业操作证（高压电工证或低压电工证）、电工职业资格等级证书、注册电气工程师等从业人员。每提供1个有效证书得2分，最高8分</w:t>
            </w:r>
          </w:p>
        </w:tc>
      </w:tr>
      <w:tr w14:paraId="545A1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474" w:type="dxa"/>
          </w:tcPr>
          <w:p w14:paraId="092918A4">
            <w:pPr>
              <w:pStyle w:val="11"/>
              <w:spacing w:before="36" w:line="183" w:lineRule="auto"/>
              <w:ind w:left="195"/>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1477" w:type="dxa"/>
          </w:tcPr>
          <w:p w14:paraId="15F2BD13">
            <w:pPr>
              <w:pStyle w:val="11"/>
              <w:spacing w:before="275" w:line="323" w:lineRule="auto"/>
              <w:ind w:left="510" w:hanging="499"/>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勘察</w:t>
            </w:r>
            <w:r>
              <w:rPr>
                <w:rFonts w:hint="eastAsia" w:ascii="仿宋" w:hAnsi="仿宋" w:eastAsia="仿宋" w:cs="仿宋"/>
                <w:sz w:val="21"/>
                <w:szCs w:val="21"/>
                <w:lang w:val="en-US" w:eastAsia="zh-CN"/>
              </w:rPr>
              <w:t>、施工质量安全保证体系及保证措施</w:t>
            </w:r>
          </w:p>
        </w:tc>
        <w:tc>
          <w:tcPr>
            <w:tcW w:w="564" w:type="dxa"/>
            <w:gridSpan w:val="2"/>
          </w:tcPr>
          <w:p w14:paraId="57C25005">
            <w:pPr>
              <w:pStyle w:val="11"/>
              <w:spacing w:before="36" w:line="182" w:lineRule="auto"/>
              <w:ind w:left="174"/>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5764" w:type="dxa"/>
          </w:tcPr>
          <w:p w14:paraId="5BA770A5">
            <w:pPr>
              <w:pStyle w:val="11"/>
              <w:spacing w:before="35" w:line="238" w:lineRule="auto"/>
              <w:ind w:left="45" w:firstLine="420" w:firstLineChars="20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1.投标人进行了实地勘察、且经我方的勘察，投标人的</w:t>
            </w:r>
            <w:r>
              <w:rPr>
                <w:rFonts w:hint="eastAsia" w:ascii="仿宋" w:hAnsi="仿宋" w:eastAsia="仿宋" w:cs="仿宋"/>
                <w:sz w:val="21"/>
                <w:szCs w:val="21"/>
                <w:lang w:val="en-US" w:eastAsia="zh-CN"/>
              </w:rPr>
              <w:t>施工</w:t>
            </w:r>
            <w:r>
              <w:rPr>
                <w:rFonts w:hint="eastAsia" w:ascii="仿宋" w:hAnsi="仿宋" w:eastAsia="仿宋" w:cs="仿宋"/>
                <w:sz w:val="21"/>
                <w:szCs w:val="21"/>
                <w:lang w:eastAsia="zh-CN"/>
              </w:rPr>
              <w:t>质量安全保证体系及保证措施健全、措施得力、有效，得</w:t>
            </w:r>
            <w:r>
              <w:rPr>
                <w:rFonts w:hint="eastAsia" w:ascii="仿宋" w:hAnsi="仿宋" w:eastAsia="仿宋" w:cs="仿宋"/>
                <w:sz w:val="21"/>
                <w:szCs w:val="21"/>
                <w:lang w:val="en-US" w:eastAsia="zh-CN"/>
              </w:rPr>
              <w:t>5</w:t>
            </w:r>
            <w:r>
              <w:rPr>
                <w:rFonts w:hint="eastAsia" w:ascii="仿宋" w:hAnsi="仿宋" w:eastAsia="仿宋" w:cs="仿宋"/>
                <w:sz w:val="21"/>
                <w:szCs w:val="21"/>
                <w:lang w:eastAsia="zh-CN"/>
              </w:rPr>
              <w:t>(含)-</w:t>
            </w:r>
            <w:r>
              <w:rPr>
                <w:rFonts w:hint="eastAsia" w:ascii="仿宋" w:hAnsi="仿宋" w:eastAsia="仿宋" w:cs="仿宋"/>
                <w:sz w:val="21"/>
                <w:szCs w:val="21"/>
                <w:lang w:val="en-US" w:eastAsia="zh-CN"/>
              </w:rPr>
              <w:t>7</w:t>
            </w:r>
            <w:r>
              <w:rPr>
                <w:rFonts w:hint="eastAsia" w:ascii="仿宋" w:hAnsi="仿宋" w:eastAsia="仿宋" w:cs="仿宋"/>
                <w:sz w:val="21"/>
                <w:szCs w:val="21"/>
                <w:lang w:eastAsia="zh-CN"/>
              </w:rPr>
              <w:t>分；</w:t>
            </w:r>
          </w:p>
          <w:p w14:paraId="65E3902A">
            <w:pPr>
              <w:pStyle w:val="11"/>
              <w:spacing w:before="45" w:line="272" w:lineRule="auto"/>
              <w:ind w:left="45" w:firstLine="420" w:firstLineChars="20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2.投标人进行了实地勘察、且经我方的勘察，投标人的</w:t>
            </w:r>
            <w:r>
              <w:rPr>
                <w:rFonts w:hint="eastAsia" w:ascii="仿宋" w:hAnsi="仿宋" w:eastAsia="仿宋" w:cs="仿宋"/>
                <w:sz w:val="21"/>
                <w:szCs w:val="21"/>
                <w:lang w:val="en-US" w:eastAsia="zh-CN"/>
              </w:rPr>
              <w:t>施工</w:t>
            </w:r>
            <w:r>
              <w:rPr>
                <w:rFonts w:hint="eastAsia" w:ascii="仿宋" w:hAnsi="仿宋" w:eastAsia="仿宋" w:cs="仿宋"/>
                <w:sz w:val="21"/>
                <w:szCs w:val="21"/>
                <w:lang w:eastAsia="zh-CN"/>
              </w:rPr>
              <w:t>质量安全保证体系及保证措施健全、措施一般，得</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(含)-</w:t>
            </w:r>
            <w:r>
              <w:rPr>
                <w:rFonts w:hint="eastAsia" w:ascii="仿宋" w:hAnsi="仿宋" w:eastAsia="仿宋" w:cs="仿宋"/>
                <w:sz w:val="21"/>
                <w:szCs w:val="21"/>
                <w:lang w:val="en-US" w:eastAsia="zh-CN"/>
              </w:rPr>
              <w:t>4</w:t>
            </w:r>
            <w:r>
              <w:rPr>
                <w:rFonts w:hint="eastAsia" w:ascii="仿宋" w:hAnsi="仿宋" w:eastAsia="仿宋" w:cs="仿宋"/>
                <w:sz w:val="21"/>
                <w:szCs w:val="21"/>
                <w:lang w:eastAsia="zh-CN"/>
              </w:rPr>
              <w:t>分：</w:t>
            </w:r>
          </w:p>
          <w:p w14:paraId="4FA43D4F">
            <w:pPr>
              <w:pStyle w:val="11"/>
              <w:spacing w:before="25" w:line="219" w:lineRule="auto"/>
              <w:ind w:firstLine="420" w:firstLineChars="20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3.投标人未进行勘察、且经我方的勘察，投标人的</w:t>
            </w:r>
            <w:r>
              <w:rPr>
                <w:rFonts w:hint="eastAsia" w:ascii="仿宋" w:hAnsi="仿宋" w:eastAsia="仿宋" w:cs="仿宋"/>
                <w:sz w:val="21"/>
                <w:szCs w:val="21"/>
                <w:lang w:val="en-US" w:eastAsia="zh-CN"/>
              </w:rPr>
              <w:t>施工</w:t>
            </w:r>
            <w:r>
              <w:rPr>
                <w:rFonts w:hint="eastAsia" w:ascii="仿宋" w:hAnsi="仿宋" w:eastAsia="仿宋" w:cs="仿宋"/>
                <w:sz w:val="21"/>
                <w:szCs w:val="21"/>
                <w:lang w:eastAsia="zh-CN"/>
              </w:rPr>
              <w:t>质量安全保证体系及保证措施无法保证，得0</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分。</w:t>
            </w:r>
          </w:p>
        </w:tc>
      </w:tr>
      <w:tr w14:paraId="30E2C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474" w:type="dxa"/>
          </w:tcPr>
          <w:p w14:paraId="40D18385">
            <w:pPr>
              <w:spacing w:line="203" w:lineRule="exact"/>
              <w:jc w:val="center"/>
              <w:rPr>
                <w:rFonts w:hint="eastAsia" w:ascii="仿宋" w:hAnsi="仿宋" w:eastAsia="仿宋" w:cs="仿宋"/>
                <w:szCs w:val="21"/>
              </w:rPr>
            </w:pPr>
          </w:p>
        </w:tc>
        <w:tc>
          <w:tcPr>
            <w:tcW w:w="1477" w:type="dxa"/>
          </w:tcPr>
          <w:p w14:paraId="00475B66">
            <w:pPr>
              <w:pStyle w:val="11"/>
              <w:spacing w:before="55" w:line="221" w:lineRule="auto"/>
              <w:ind w:left="621"/>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合计</w:t>
            </w:r>
          </w:p>
        </w:tc>
        <w:tc>
          <w:tcPr>
            <w:tcW w:w="564" w:type="dxa"/>
            <w:gridSpan w:val="2"/>
          </w:tcPr>
          <w:p w14:paraId="1DA234BC">
            <w:pPr>
              <w:pStyle w:val="11"/>
              <w:spacing w:before="82" w:line="184" w:lineRule="auto"/>
              <w:ind w:left="114"/>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15</w:t>
            </w:r>
          </w:p>
        </w:tc>
        <w:tc>
          <w:tcPr>
            <w:tcW w:w="5764" w:type="dxa"/>
          </w:tcPr>
          <w:p w14:paraId="29BEE88B">
            <w:pPr>
              <w:spacing w:line="203" w:lineRule="exact"/>
              <w:jc w:val="center"/>
              <w:rPr>
                <w:rFonts w:hint="eastAsia" w:ascii="仿宋" w:hAnsi="仿宋" w:eastAsia="仿宋" w:cs="仿宋"/>
                <w:szCs w:val="21"/>
              </w:rPr>
            </w:pPr>
          </w:p>
        </w:tc>
      </w:tr>
    </w:tbl>
    <w:p w14:paraId="0CBC8B60">
      <w:pPr>
        <w:spacing w:line="5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02"/>
    <w:rsid w:val="000718EA"/>
    <w:rsid w:val="00277038"/>
    <w:rsid w:val="0037053B"/>
    <w:rsid w:val="004E46C6"/>
    <w:rsid w:val="004E6842"/>
    <w:rsid w:val="00595D93"/>
    <w:rsid w:val="00A02A55"/>
    <w:rsid w:val="00A8540C"/>
    <w:rsid w:val="00E37B02"/>
    <w:rsid w:val="00F14C76"/>
    <w:rsid w:val="00FC3A20"/>
    <w:rsid w:val="0368106D"/>
    <w:rsid w:val="044B79E1"/>
    <w:rsid w:val="04BA64C7"/>
    <w:rsid w:val="05D92AE9"/>
    <w:rsid w:val="08776489"/>
    <w:rsid w:val="107443D0"/>
    <w:rsid w:val="12F3070F"/>
    <w:rsid w:val="173E4D36"/>
    <w:rsid w:val="1A6A1AF8"/>
    <w:rsid w:val="2369654A"/>
    <w:rsid w:val="273B6B9C"/>
    <w:rsid w:val="2A88034A"/>
    <w:rsid w:val="385B0E4C"/>
    <w:rsid w:val="3ACE7FFB"/>
    <w:rsid w:val="3B3D2BD9"/>
    <w:rsid w:val="3C44721D"/>
    <w:rsid w:val="40FB226E"/>
    <w:rsid w:val="41166258"/>
    <w:rsid w:val="44F1663F"/>
    <w:rsid w:val="471B364B"/>
    <w:rsid w:val="4E66430D"/>
    <w:rsid w:val="4FDF015D"/>
    <w:rsid w:val="523A1FFB"/>
    <w:rsid w:val="572A0ECA"/>
    <w:rsid w:val="58DC4028"/>
    <w:rsid w:val="59D6437F"/>
    <w:rsid w:val="5DDC7654"/>
    <w:rsid w:val="639C3F43"/>
    <w:rsid w:val="671A34A7"/>
    <w:rsid w:val="681F462E"/>
    <w:rsid w:val="76927A5E"/>
    <w:rsid w:val="76D35A76"/>
    <w:rsid w:val="7792495F"/>
    <w:rsid w:val="782567A5"/>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rPr>
      <w:rFonts w:ascii="Times New Roman" w:hAnsi="Times New Roman"/>
      <w:sz w:val="20"/>
      <w:szCs w:val="24"/>
    </w:rPr>
  </w:style>
  <w:style w:type="paragraph" w:styleId="5">
    <w:name w:val="Body Text First Indent 2"/>
    <w:basedOn w:val="4"/>
    <w:next w:val="1"/>
    <w:qFormat/>
    <w:uiPriority w:val="0"/>
    <w:pPr>
      <w:ind w:firstLine="420"/>
    </w:pPr>
    <w:rPr>
      <w:sz w:val="24"/>
    </w:rPr>
  </w:style>
  <w:style w:type="character" w:styleId="8">
    <w:name w:val="Strong"/>
    <w:basedOn w:val="7"/>
    <w:qFormat/>
    <w:uiPriority w:val="0"/>
    <w:rPr>
      <w:b/>
    </w:rPr>
  </w:style>
  <w:style w:type="paragraph" w:customStyle="1" w:styleId="9">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10">
    <w:name w:val="纯文本11"/>
    <w:basedOn w:val="1"/>
    <w:autoRedefine/>
    <w:qFormat/>
    <w:uiPriority w:val="0"/>
    <w:pPr>
      <w:tabs>
        <w:tab w:val="left" w:pos="709"/>
      </w:tabs>
      <w:adjustRightInd w:val="0"/>
      <w:snapToGrid w:val="0"/>
      <w:spacing w:line="400" w:lineRule="exact"/>
    </w:pPr>
    <w:rPr>
      <w:rFonts w:ascii="宋体" w:hAnsi="Courier New"/>
    </w:rPr>
  </w:style>
  <w:style w:type="paragraph" w:customStyle="1" w:styleId="11">
    <w:name w:val="Table Text"/>
    <w:basedOn w:val="1"/>
    <w:semiHidden/>
    <w:qFormat/>
    <w:uiPriority w:val="0"/>
    <w:rPr>
      <w:rFonts w:ascii="宋体" w:hAnsi="宋体" w:eastAsia="宋体" w:cs="宋体"/>
      <w:sz w:val="11"/>
      <w:szCs w:val="11"/>
      <w:lang w:eastAsia="en-US"/>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纯文本2"/>
    <w:basedOn w:val="1"/>
    <w:autoRedefine/>
    <w:qFormat/>
    <w:uiPriority w:val="0"/>
    <w:pPr>
      <w:adjustRightInd w:val="0"/>
      <w:textAlignment w:val="baseline"/>
    </w:pPr>
    <w:rPr>
      <w:rFonts w:ascii="宋体" w:hAnsi="Courier New" w:eastAsia="楷体_GB2312"/>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1227</Words>
  <Characters>1272</Characters>
  <Lines>60</Lines>
  <Paragraphs>54</Paragraphs>
  <TotalTime>0</TotalTime>
  <ScaleCrop>false</ScaleCrop>
  <LinksUpToDate>false</LinksUpToDate>
  <CharactersWithSpaces>1278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2025-05-21T10:05:00Z</dcterms:created>
  <dc:creator>Administrator</dc:creator>
  <cp:lastModifiedBy>马耶</cp:lastModifiedBy>
  <dcterms:modified xsi:type="dcterms:W3CDTF">2025-07-01T05:36:56Z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eyJoZGlkIjoiN2Y3ZTRmZWJkOWI4ZWNhMWUyYzc4OGYxODg1NjU4ZWUiLCJ1c2VySWQiOiIxNDg1ODY1MjY4In0=</vt:lpwstr>
  </property>
  <property fmtid="{D5CDD505-2E9C-101B-9397-08002B2CF9AE}" pid="4" name="ICV">
    <vt:lpwstr>7162A8444B2B46FC8DF9DCDEEF9BEF3E_12</vt:lpwstr>
  </property>
</Properties>
</file>